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A7" w:rsidRDefault="004B0EA7" w:rsidP="004B0EA7">
      <w:pPr>
        <w:ind w:left="1440" w:firstLine="720"/>
        <w:rPr>
          <w:rFonts w:ascii="Bookman Old Style" w:hAnsi="Bookman Old Style"/>
          <w:b/>
          <w:sz w:val="22"/>
          <w:szCs w:val="22"/>
          <w:u w:val="single"/>
        </w:rPr>
      </w:pPr>
      <w:r w:rsidRPr="002E68D5">
        <w:rPr>
          <w:rFonts w:ascii="Bookman Old Style" w:hAnsi="Bookman Old Style"/>
          <w:b/>
          <w:sz w:val="22"/>
          <w:szCs w:val="22"/>
          <w:u w:val="single"/>
        </w:rPr>
        <w:t>ΥΠΟΔΕΙΓΜΑ ΟΙΚΟΝΟΜΙΚΗΣ ΠΡΟΣΦΟΡΑΣ</w:t>
      </w:r>
    </w:p>
    <w:p w:rsidR="004B0EA7" w:rsidRPr="002E68D5" w:rsidRDefault="004B0EA7" w:rsidP="004B0EA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B0EA7" w:rsidRPr="00EF67BD" w:rsidRDefault="004B0EA7" w:rsidP="004B0EA7">
      <w:pPr>
        <w:jc w:val="center"/>
        <w:rPr>
          <w:rFonts w:ascii="Bookman Old Style" w:hAnsi="Bookman Old Style"/>
          <w:sz w:val="20"/>
        </w:rPr>
      </w:pPr>
      <w:r w:rsidRPr="00EF67BD">
        <w:rPr>
          <w:rFonts w:ascii="Bookman Old Style" w:hAnsi="Bookman Old Style"/>
          <w:b/>
          <w:bCs/>
          <w:sz w:val="20"/>
        </w:rPr>
        <w:t>Προς:</w:t>
      </w:r>
      <w:r w:rsidRPr="00446B78">
        <w:rPr>
          <w:rFonts w:ascii="Bookman Old Style" w:hAnsi="Bookman Old Style"/>
          <w:bCs/>
          <w:sz w:val="20"/>
        </w:rPr>
        <w:t xml:space="preserve"> </w:t>
      </w:r>
      <w:r w:rsidRPr="00446B78">
        <w:rPr>
          <w:rFonts w:ascii="Bookman Old Style" w:hAnsi="Bookman Old Style"/>
          <w:b/>
          <w:bCs/>
          <w:sz w:val="20"/>
        </w:rPr>
        <w:t>ΑΝΩΤΑΤΗ ΣΧΟΛΗ ΠΑΙΔΑΓΩΓΙΚΗΣ &amp; ΤΕΧΝΟΛΟΓΙΚΗΣ ΕΚΠΑΙΔΕΥΣΗΣ-ΑΣΠΑΙΤΕ</w:t>
      </w:r>
    </w:p>
    <w:p w:rsidR="004B0EA7" w:rsidRPr="002C1431" w:rsidRDefault="004B0EA7" w:rsidP="004B0EA7">
      <w:pPr>
        <w:jc w:val="center"/>
        <w:rPr>
          <w:rFonts w:ascii="Bookman Old Style" w:hAnsi="Bookman Old Style"/>
          <w:b/>
          <w:sz w:val="20"/>
          <w:u w:val="single"/>
        </w:rPr>
      </w:pPr>
      <w:r w:rsidRPr="002C1431">
        <w:rPr>
          <w:rFonts w:ascii="Bookman Old Style" w:hAnsi="Bookman Old Style"/>
          <w:b/>
          <w:sz w:val="20"/>
          <w:u w:val="single"/>
        </w:rPr>
        <w:t>ΟΙΚΟΝΟΜΙΚΗ ΠΡΟΣΦΟΡΑ</w:t>
      </w:r>
    </w:p>
    <w:p w:rsidR="004B0EA7" w:rsidRPr="00BA7264" w:rsidRDefault="004B0EA7" w:rsidP="004B0EA7">
      <w:pPr>
        <w:ind w:left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«Για την</w:t>
      </w:r>
      <w:r w:rsidRPr="00446B78"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b/>
          <w:bCs/>
          <w:sz w:val="20"/>
        </w:rPr>
        <w:t>α</w:t>
      </w:r>
      <w:r w:rsidRPr="0089480B">
        <w:rPr>
          <w:rFonts w:ascii="Bookman Old Style" w:hAnsi="Bookman Old Style"/>
          <w:b/>
          <w:bCs/>
          <w:sz w:val="20"/>
        </w:rPr>
        <w:t>νάθεση παροχής υπηρεσιών ταχυμεταφοράς εγγράφων και δεμάτων για την κάλυψη των αναγκών της ΑΣΠΑΙΤΕ στο Μαρούσι, στη Θεσσαλονίκη και στην Πάτρα, για τρία (3) έτη ή μέχρι εξαντλήσεως του προϋπολογισμού</w:t>
      </w:r>
      <w:r>
        <w:rPr>
          <w:rFonts w:ascii="Bookman Old Style" w:hAnsi="Bookman Old Style"/>
          <w:b/>
          <w:sz w:val="20"/>
        </w:rPr>
        <w:t>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4695"/>
      </w:tblGrid>
      <w:tr w:rsidR="004B0EA7" w:rsidRPr="00446B78" w:rsidTr="00FF29C1">
        <w:trPr>
          <w:trHeight w:val="384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446B78">
              <w:rPr>
                <w:rFonts w:ascii="Bookman Old Style" w:hAnsi="Bookman Old Style"/>
                <w:b/>
                <w:sz w:val="20"/>
              </w:rPr>
              <w:t>ΣΤΟΙΧΕΙΑ ΠΡΟΣΦΕΡΟΝΤΟΣ</w:t>
            </w:r>
          </w:p>
        </w:tc>
      </w:tr>
      <w:tr w:rsidR="004B0EA7" w:rsidRPr="00446B78" w:rsidTr="00FF29C1">
        <w:trPr>
          <w:trHeight w:val="17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446B78">
              <w:rPr>
                <w:rFonts w:ascii="Bookman Old Style" w:hAnsi="Bookman Old Style"/>
                <w:b/>
                <w:sz w:val="20"/>
              </w:rPr>
              <w:t>ΕΠΩΝΥΜΙΑ  ΠΡΟΣΦΕΡΟΝΤΟΣ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4B0EA7" w:rsidRPr="00446B78" w:rsidTr="00FF29C1">
        <w:trPr>
          <w:trHeight w:val="17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446B78">
              <w:rPr>
                <w:rFonts w:ascii="Bookman Old Style" w:hAnsi="Bookman Old Style"/>
                <w:b/>
                <w:sz w:val="20"/>
              </w:rPr>
              <w:t>ΔΙΕΥΘΥΝΣΗ, Τ.Κ,  ΠΟΛΗ ΕΔΡΑΣ: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4B0EA7" w:rsidRPr="00446B78" w:rsidTr="00FF29C1">
        <w:trPr>
          <w:trHeight w:val="17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446B78">
              <w:rPr>
                <w:rFonts w:ascii="Bookman Old Style" w:hAnsi="Bookman Old Style"/>
                <w:b/>
                <w:sz w:val="20"/>
              </w:rPr>
              <w:t xml:space="preserve">ΤΗΛΕΦΩΝΑ/ ΦΑΞ / </w:t>
            </w:r>
            <w:r w:rsidRPr="00446B78">
              <w:rPr>
                <w:rFonts w:ascii="Bookman Old Style" w:hAnsi="Bookman Old Style"/>
                <w:b/>
                <w:sz w:val="20"/>
                <w:lang w:val="en-US"/>
              </w:rPr>
              <w:t xml:space="preserve"> E-MAIL</w:t>
            </w:r>
            <w:r w:rsidRPr="00446B78">
              <w:rPr>
                <w:rFonts w:ascii="Bookman Old Style" w:hAnsi="Bookman Old Style"/>
                <w:b/>
                <w:sz w:val="20"/>
              </w:rPr>
              <w:t>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4B0EA7" w:rsidRPr="00446B78" w:rsidTr="00FF29C1">
        <w:trPr>
          <w:trHeight w:val="17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446B78">
              <w:rPr>
                <w:rFonts w:ascii="Bookman Old Style" w:hAnsi="Bookman Old Style"/>
                <w:b/>
                <w:sz w:val="20"/>
              </w:rPr>
              <w:t>ΑΦΜ-ΔΟΥ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4B0EA7" w:rsidRPr="00446B78" w:rsidTr="00FF29C1">
        <w:trPr>
          <w:trHeight w:val="17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446B78">
              <w:rPr>
                <w:rFonts w:ascii="Bookman Old Style" w:hAnsi="Bookman Old Style"/>
                <w:b/>
                <w:sz w:val="20"/>
              </w:rPr>
              <w:t>ΝΟΜΙΜΟΣ ΕΚΠΡΟΣΩΠΟΣ: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4B0EA7" w:rsidRPr="00446B78" w:rsidTr="00FF29C1">
        <w:trPr>
          <w:trHeight w:val="17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446B78">
              <w:rPr>
                <w:rFonts w:ascii="Bookman Old Style" w:hAnsi="Bookman Old Style"/>
                <w:b/>
                <w:sz w:val="20"/>
              </w:rPr>
              <w:t xml:space="preserve">Α.Δ.Τ. ( </w:t>
            </w:r>
            <w:proofErr w:type="spellStart"/>
            <w:r w:rsidRPr="00446B78">
              <w:rPr>
                <w:rFonts w:ascii="Bookman Old Style" w:hAnsi="Bookman Old Style"/>
                <w:b/>
                <w:sz w:val="20"/>
              </w:rPr>
              <w:t>Νομίμου</w:t>
            </w:r>
            <w:proofErr w:type="spellEnd"/>
            <w:r w:rsidRPr="00446B78">
              <w:rPr>
                <w:rFonts w:ascii="Bookman Old Style" w:hAnsi="Bookman Old Style"/>
                <w:b/>
                <w:sz w:val="20"/>
              </w:rPr>
              <w:t xml:space="preserve"> Εκπροσώπου)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4B0EA7" w:rsidRPr="00446B78" w:rsidTr="00FF29C1">
        <w:trPr>
          <w:trHeight w:val="170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  <w:r w:rsidRPr="00446B78">
              <w:rPr>
                <w:rFonts w:ascii="Bookman Old Style" w:hAnsi="Bookman Old Style"/>
                <w:b/>
                <w:sz w:val="20"/>
              </w:rPr>
              <w:t>Υπεύθυνος Επικοινωνίας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A7" w:rsidRPr="00446B78" w:rsidRDefault="004B0EA7" w:rsidP="00FF29C1">
            <w:pPr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</w:tr>
    </w:tbl>
    <w:p w:rsidR="004B0EA7" w:rsidRDefault="004B0EA7" w:rsidP="004B0EA7">
      <w:pPr>
        <w:jc w:val="both"/>
        <w:rPr>
          <w:rFonts w:ascii="Bookman Old Style" w:hAnsi="Bookman Old Style"/>
          <w:bCs/>
          <w:sz w:val="20"/>
        </w:rPr>
      </w:pPr>
    </w:p>
    <w:tbl>
      <w:tblPr>
        <w:tblpPr w:leftFromText="180" w:rightFromText="180" w:vertAnchor="text" w:horzAnchor="margin" w:tblpX="-889" w:tblpY="-2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628"/>
        <w:gridCol w:w="1607"/>
        <w:gridCol w:w="1425"/>
        <w:gridCol w:w="1050"/>
        <w:gridCol w:w="1279"/>
        <w:gridCol w:w="1254"/>
        <w:gridCol w:w="1135"/>
      </w:tblGrid>
      <w:tr w:rsidR="004B0EA7" w:rsidRPr="00FD2E4C" w:rsidTr="004B0EA7">
        <w:tc>
          <w:tcPr>
            <w:tcW w:w="1682" w:type="dxa"/>
            <w:shd w:val="clear" w:color="auto" w:fill="auto"/>
          </w:tcPr>
          <w:p w:rsidR="004B0EA7" w:rsidRDefault="004B0EA7" w:rsidP="004B0EA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EA7" w:rsidRPr="00FD2E4C" w:rsidRDefault="004B0EA7" w:rsidP="004B0EA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764" w:type="dxa"/>
            <w:shd w:val="clear" w:color="auto" w:fill="auto"/>
          </w:tcPr>
          <w:p w:rsidR="004B0EA7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/>
                <w:bCs/>
                <w:sz w:val="16"/>
                <w:szCs w:val="16"/>
              </w:rPr>
              <w:t>ΠΕΡΙΓΡΑΦΗ ΥΠΗΡΕΣΙΑΣ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4B0EA7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ΑΞΙΑ ΧΩΡΙΣ ΦΠΑ </w:t>
            </w:r>
          </w:p>
        </w:tc>
        <w:tc>
          <w:tcPr>
            <w:tcW w:w="1145" w:type="dxa"/>
            <w:shd w:val="clear" w:color="auto" w:fill="auto"/>
          </w:tcPr>
          <w:p w:rsidR="004B0EA7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EA7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/>
                <w:bCs/>
                <w:sz w:val="16"/>
                <w:szCs w:val="16"/>
              </w:rPr>
              <w:t>Φ.Π.Α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ΜΕΧΡΙ ΔΥΟ (2) ΚΙΛΑ</w:t>
            </w:r>
          </w:p>
        </w:tc>
        <w:tc>
          <w:tcPr>
            <w:tcW w:w="1329" w:type="dxa"/>
            <w:shd w:val="clear" w:color="auto" w:fill="auto"/>
          </w:tcPr>
          <w:p w:rsidR="004B0EA7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/>
                <w:bCs/>
                <w:sz w:val="16"/>
                <w:szCs w:val="16"/>
              </w:rPr>
              <w:t>Φ.Π.Α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ΓΙΑ ΚΑΘΕ ΕΠΙΠΛΕΟΝ ΕΝΑ (1) ΚΙΛΟ</w:t>
            </w:r>
          </w:p>
        </w:tc>
        <w:tc>
          <w:tcPr>
            <w:tcW w:w="1301" w:type="dxa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/>
                <w:bCs/>
                <w:sz w:val="16"/>
                <w:szCs w:val="16"/>
              </w:rPr>
              <w:t>ΣΥΝΟΛΙΚΗ ΑΞΙΑ ΜΕ ΦΠΑ ΜΕΧΡΙ ΔΥΟ (2) ΚΙΛΑ</w:t>
            </w:r>
          </w:p>
        </w:tc>
        <w:tc>
          <w:tcPr>
            <w:tcW w:w="236" w:type="dxa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ΣΥΝΟΛΙΚΗ ΑΞΙΑ ΜΕ ΦΠΑ ΓΙΑ ΚΑΘΕ ΕΠΙΠΛΕΟΝ  </w:t>
            </w: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ΕΝΑ (1) ΚΙΛΟ </w:t>
            </w:r>
          </w:p>
        </w:tc>
      </w:tr>
      <w:tr w:rsidR="004B0EA7" w:rsidRPr="00FD2E4C" w:rsidTr="004B0EA7">
        <w:tc>
          <w:tcPr>
            <w:tcW w:w="1682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ΕΝΤΟΣ ΠΟΛΗΣ *</w:t>
            </w:r>
          </w:p>
        </w:tc>
        <w:tc>
          <w:tcPr>
            <w:tcW w:w="1742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Μέχρι δύο (2) κιλά</w:t>
            </w: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….………..€</w:t>
            </w: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Για κάθε επιπλέον ένα (1) κιλό</w:t>
            </w: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….………€</w:t>
            </w:r>
          </w:p>
        </w:tc>
        <w:tc>
          <w:tcPr>
            <w:tcW w:w="1145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301" w:type="dxa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4B0EA7" w:rsidRPr="00FD2E4C" w:rsidTr="004B0EA7">
        <w:tc>
          <w:tcPr>
            <w:tcW w:w="1682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ΑΠΟ ΠΟΛΗ ΣΕ ΠΟΛΗ **</w:t>
            </w:r>
          </w:p>
        </w:tc>
        <w:tc>
          <w:tcPr>
            <w:tcW w:w="1742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 xml:space="preserve">Μέχρι δύο (2) κιλά </w:t>
            </w:r>
          </w:p>
          <w:p w:rsidR="004B0EA7" w:rsidRPr="00FD2E4C" w:rsidRDefault="004B0EA7" w:rsidP="004B0EA7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..……………€</w:t>
            </w: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Για κάθε επιπλέον ένα (1) κιλό</w:t>
            </w: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.</w:t>
            </w:r>
            <w:r w:rsidRPr="00FD2E4C">
              <w:rPr>
                <w:rFonts w:ascii="Bookman Old Style" w:hAnsi="Bookman Old Style"/>
                <w:bCs/>
                <w:sz w:val="16"/>
                <w:szCs w:val="16"/>
              </w:rPr>
              <w:t>...………€</w:t>
            </w:r>
          </w:p>
        </w:tc>
        <w:tc>
          <w:tcPr>
            <w:tcW w:w="1145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301" w:type="dxa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4B0EA7" w:rsidRPr="00FD2E4C" w:rsidRDefault="004B0EA7" w:rsidP="004B0EA7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</w:tbl>
    <w:p w:rsidR="004B0EA7" w:rsidRDefault="004B0EA7" w:rsidP="004B0EA7">
      <w:pPr>
        <w:autoSpaceDE w:val="0"/>
        <w:autoSpaceDN w:val="0"/>
        <w:adjustRightInd w:val="0"/>
        <w:ind w:left="-567" w:firstLine="284"/>
        <w:jc w:val="both"/>
        <w:rPr>
          <w:rFonts w:ascii="Bookman Old Style" w:hAnsi="Bookman Old Style" w:cs="BookmanOldStyle-Bold"/>
          <w:bCs/>
          <w:sz w:val="20"/>
        </w:rPr>
      </w:pPr>
      <w:r>
        <w:rPr>
          <w:rFonts w:ascii="Bookman Old Style" w:hAnsi="Bookman Old Style" w:cs="BookmanOldStyle-Bold"/>
          <w:bCs/>
          <w:sz w:val="20"/>
        </w:rPr>
        <w:t xml:space="preserve">* </w:t>
      </w:r>
      <w:r w:rsidRPr="00FB27BD">
        <w:rPr>
          <w:rFonts w:ascii="Bookman Old Style" w:hAnsi="Bookman Old Style" w:cs="BookmanOldStyle-Bold"/>
          <w:bCs/>
          <w:sz w:val="20"/>
        </w:rPr>
        <w:t>Επόμενη εργάσιμη ημέρα</w:t>
      </w:r>
    </w:p>
    <w:p w:rsidR="004B0EA7" w:rsidRDefault="004B0EA7" w:rsidP="004B0EA7">
      <w:pPr>
        <w:autoSpaceDE w:val="0"/>
        <w:autoSpaceDN w:val="0"/>
        <w:adjustRightInd w:val="0"/>
        <w:ind w:left="-567" w:firstLine="284"/>
        <w:jc w:val="both"/>
        <w:rPr>
          <w:rFonts w:ascii="Bookman Old Style" w:hAnsi="Bookman Old Style" w:cs="BookmanOldStyle-Bold"/>
          <w:bCs/>
          <w:sz w:val="20"/>
        </w:rPr>
      </w:pPr>
      <w:r w:rsidRPr="00FB27BD">
        <w:rPr>
          <w:rFonts w:ascii="Bookman Old Style" w:hAnsi="Bookman Old Style" w:cs="BookmanOldStyle-Bold"/>
          <w:bCs/>
          <w:sz w:val="20"/>
        </w:rPr>
        <w:t>** Σε 1 – 2 εργάσιμες ημέρες</w:t>
      </w:r>
    </w:p>
    <w:p w:rsidR="004B0EA7" w:rsidRDefault="004B0EA7" w:rsidP="004B0EA7">
      <w:pPr>
        <w:autoSpaceDE w:val="0"/>
        <w:autoSpaceDN w:val="0"/>
        <w:adjustRightInd w:val="0"/>
        <w:ind w:left="-567" w:firstLine="284"/>
        <w:jc w:val="both"/>
        <w:rPr>
          <w:rFonts w:ascii="Bookman Old Style" w:hAnsi="Bookman Old Style" w:cs="BookmanOldStyle"/>
          <w:sz w:val="20"/>
        </w:rPr>
      </w:pPr>
      <w:r>
        <w:rPr>
          <w:rFonts w:ascii="Bookman Old Style" w:hAnsi="Bookman Old Style" w:cs="BookmanOldStyle-Bold"/>
          <w:bCs/>
          <w:sz w:val="20"/>
        </w:rPr>
        <w:t xml:space="preserve">                </w:t>
      </w:r>
      <w:r w:rsidRPr="000B26F7">
        <w:rPr>
          <w:rFonts w:ascii="Bookman Old Style" w:hAnsi="Bookman Old Style" w:cs="BookmanOldStyle-Bold"/>
          <w:bCs/>
          <w:sz w:val="20"/>
        </w:rPr>
        <w:t xml:space="preserve"> 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 xml:space="preserve">Επισημαίνεται ότι το μεγαλύτερο ποσοστό του συνόλου των αποστολών </w:t>
      </w:r>
      <w:r>
        <w:rPr>
          <w:rFonts w:ascii="Bookman Old Style" w:hAnsi="Bookman Old Style" w:cs="BookmanOldStyle-Bold"/>
          <w:bCs/>
          <w:sz w:val="20"/>
        </w:rPr>
        <w:t xml:space="preserve">της ΑΣΠΑΙΤΕ </w:t>
      </w:r>
      <w:r w:rsidRPr="00FB27BD">
        <w:rPr>
          <w:rFonts w:ascii="Bookman Old Style" w:hAnsi="Bookman Old Style" w:cs="BookmanOldStyle-Bold"/>
          <w:bCs/>
          <w:sz w:val="20"/>
        </w:rPr>
        <w:t>(96% περίπου)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αφορούν έγγραφα και δέματα τα</w:t>
      </w:r>
      <w:r>
        <w:rPr>
          <w:rFonts w:ascii="Bookman Old Style" w:hAnsi="Bookman Old Style" w:cs="BookmanOldStyle-Bold"/>
          <w:bCs/>
          <w:sz w:val="20"/>
        </w:rPr>
        <w:t xml:space="preserve"> οποία </w:t>
      </w:r>
      <w:r w:rsidRPr="00FB27BD">
        <w:rPr>
          <w:rFonts w:ascii="Bookman Old Style" w:hAnsi="Bookman Old Style" w:cs="BookmanOldStyle-Bold"/>
          <w:bCs/>
          <w:sz w:val="20"/>
        </w:rPr>
        <w:t>διακινούνται εντός της Ελλάδος και δεν ξεπερνούν τα δύο (2) κιλά και ως εκ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τούτου η προσφερόμενη τιμή ανά αποστολή έως δύο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 xml:space="preserve">(2) κιλά </w:t>
      </w:r>
      <w:r>
        <w:rPr>
          <w:rFonts w:ascii="Bookman Old Style" w:hAnsi="Bookman Old Style" w:cs="BookmanOldStyle-Bold"/>
          <w:bCs/>
          <w:sz w:val="20"/>
        </w:rPr>
        <w:t>(</w:t>
      </w:r>
      <w:r w:rsidRPr="00FB27BD">
        <w:rPr>
          <w:rFonts w:ascii="Bookman Old Style" w:hAnsi="Bookman Old Style" w:cs="BookmanOldStyle-Bold"/>
          <w:bCs/>
          <w:sz w:val="20"/>
        </w:rPr>
        <w:t>εντός πόλης ή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από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πόλη σε πόλη) αποτελεί το μόνο οικονο</w:t>
      </w:r>
      <w:r>
        <w:rPr>
          <w:rFonts w:ascii="Bookman Old Style" w:hAnsi="Bookman Old Style" w:cs="BookmanOldStyle-Bold"/>
          <w:bCs/>
          <w:sz w:val="20"/>
        </w:rPr>
        <w:t xml:space="preserve">μικό κριτήριο κατακύρωσης της εν </w:t>
      </w:r>
      <w:r w:rsidRPr="00FB27BD">
        <w:rPr>
          <w:rFonts w:ascii="Bookman Old Style" w:hAnsi="Bookman Old Style" w:cs="BookmanOldStyle-Bold"/>
          <w:bCs/>
          <w:sz w:val="20"/>
        </w:rPr>
        <w:t>λόγω διαδικασίας.</w:t>
      </w:r>
      <w:r w:rsidRPr="00065735">
        <w:rPr>
          <w:rFonts w:ascii="Bookman Old Style" w:hAnsi="Bookman Old Style" w:cs="BookmanOldStyle-Bold"/>
          <w:bCs/>
          <w:sz w:val="20"/>
        </w:rPr>
        <w:t xml:space="preserve">  </w:t>
      </w:r>
      <w:r w:rsidRPr="00FB27BD">
        <w:rPr>
          <w:rFonts w:ascii="Bookman Old Style" w:hAnsi="Bookman Old Style" w:cs="BookmanOldStyle-Bold"/>
          <w:bCs/>
          <w:sz w:val="20"/>
        </w:rPr>
        <w:t>Η πρόσθετη επιβάρυνση για κάθε επιπλέον κιλό δεν αποτελεί κριτήριο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κατακύρωσης αλλά πρόσθετο πληροφοριακό οικονομικό στοιχείο</w:t>
      </w:r>
      <w:r w:rsidRPr="00065735">
        <w:rPr>
          <w:rFonts w:ascii="Bookman Old Style" w:hAnsi="Bookman Old Style" w:cs="BookmanOldStyle-Bold"/>
          <w:bCs/>
          <w:sz w:val="20"/>
        </w:rPr>
        <w:t xml:space="preserve">.  </w:t>
      </w:r>
      <w:r w:rsidRPr="00FB27BD">
        <w:rPr>
          <w:rFonts w:ascii="Bookman Old Style" w:hAnsi="Bookman Old Style" w:cs="BookmanOldStyle-Bold"/>
          <w:bCs/>
          <w:sz w:val="20"/>
        </w:rPr>
        <w:t xml:space="preserve">Οι ανωτέρω χρεώσεις (από πόλη σε πόλη ή εντός πόλης) θα ισχύουν για </w:t>
      </w:r>
      <w:r>
        <w:rPr>
          <w:rFonts w:ascii="Bookman Old Style" w:hAnsi="Bookman Old Style" w:cs="BookmanOldStyle-Bold"/>
          <w:bCs/>
          <w:sz w:val="20"/>
        </w:rPr>
        <w:t xml:space="preserve">όλες </w:t>
      </w:r>
      <w:r w:rsidRPr="00FB27BD">
        <w:rPr>
          <w:rFonts w:ascii="Bookman Old Style" w:hAnsi="Bookman Old Style" w:cs="BookmanOldStyle-Bold"/>
          <w:bCs/>
          <w:sz w:val="20"/>
        </w:rPr>
        <w:t>τις αποστολές που παραδίδονται εντός οποιασδήποτε πόλης ή από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οποιαδήποτε πόλη σε οποιαδήποτε πόλη, για όλη την Ελλάδα,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συμπεριλαμβανομένων και των δυσπρόσιτων περιοχών. Ως</w:t>
      </w:r>
      <w:r w:rsidRPr="00065735"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 xml:space="preserve">υπηρεσίες </w:t>
      </w:r>
      <w:r>
        <w:rPr>
          <w:rFonts w:ascii="Bookman Old Style" w:hAnsi="Bookman Old Style" w:cs="BookmanOldStyle-Bold"/>
          <w:bCs/>
          <w:sz w:val="20"/>
        </w:rPr>
        <w:t xml:space="preserve">της </w:t>
      </w:r>
      <w:r w:rsidRPr="00FB27BD">
        <w:rPr>
          <w:rFonts w:ascii="Bookman Old Style" w:hAnsi="Bookman Old Style" w:cs="BookmanOldStyle-Bold"/>
          <w:bCs/>
          <w:sz w:val="20"/>
        </w:rPr>
        <w:t>προσφοράς νοούνται οι υπηρεσίες που εκτελούνται εντός της επόμενης</w:t>
      </w:r>
      <w:r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εργάσιμης ημέρας για την περίπτωση 1 του</w:t>
      </w:r>
      <w:r w:rsidRPr="00065735"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 xml:space="preserve">ανωτέρω πίνακα και μέχρι </w:t>
      </w:r>
      <w:r>
        <w:rPr>
          <w:rFonts w:ascii="Bookman Old Style" w:hAnsi="Bookman Old Style" w:cs="BookmanOldStyle-Bold"/>
          <w:bCs/>
          <w:sz w:val="20"/>
        </w:rPr>
        <w:t>δύο (</w:t>
      </w:r>
      <w:r w:rsidRPr="00FB27BD">
        <w:rPr>
          <w:rFonts w:ascii="Bookman Old Style" w:hAnsi="Bookman Old Style" w:cs="BookmanOldStyle-Bold"/>
          <w:bCs/>
          <w:sz w:val="20"/>
        </w:rPr>
        <w:t>2</w:t>
      </w:r>
      <w:r>
        <w:rPr>
          <w:rFonts w:ascii="Bookman Old Style" w:hAnsi="Bookman Old Style" w:cs="BookmanOldStyle-Bold"/>
          <w:bCs/>
          <w:sz w:val="20"/>
        </w:rPr>
        <w:t xml:space="preserve">) </w:t>
      </w:r>
      <w:r w:rsidRPr="00FB27BD">
        <w:rPr>
          <w:rFonts w:ascii="Bookman Old Style" w:hAnsi="Bookman Old Style" w:cs="BookmanOldStyle-Bold"/>
          <w:bCs/>
          <w:sz w:val="20"/>
        </w:rPr>
        <w:t>εργάσιμες μέρες για</w:t>
      </w:r>
      <w:r w:rsidRPr="00065735"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την περίπτωση αποστολών από πόλη σε πόλη ( περίπτωση</w:t>
      </w:r>
      <w:r>
        <w:rPr>
          <w:rFonts w:ascii="Bookman Old Style" w:hAnsi="Bookman Old Style" w:cs="BookmanOldStyle-Bold"/>
          <w:bCs/>
          <w:sz w:val="20"/>
        </w:rPr>
        <w:t xml:space="preserve"> 2 του ανωτέρω πίνακα</w:t>
      </w:r>
      <w:r w:rsidRPr="00FB27BD">
        <w:rPr>
          <w:rFonts w:ascii="Bookman Old Style" w:hAnsi="Bookman Old Style" w:cs="BookmanOldStyle-Bold"/>
          <w:bCs/>
          <w:sz w:val="20"/>
        </w:rPr>
        <w:t>).</w:t>
      </w:r>
      <w:r>
        <w:rPr>
          <w:rFonts w:ascii="Bookman Old Style" w:hAnsi="Bookman Old Style" w:cs="BookmanOldStyle"/>
          <w:sz w:val="20"/>
        </w:rPr>
        <w:t xml:space="preserve">  </w:t>
      </w:r>
    </w:p>
    <w:p w:rsidR="004B0EA7" w:rsidRPr="00FB27BD" w:rsidRDefault="004B0EA7" w:rsidP="004B0EA7">
      <w:pPr>
        <w:autoSpaceDE w:val="0"/>
        <w:autoSpaceDN w:val="0"/>
        <w:adjustRightInd w:val="0"/>
        <w:ind w:left="-567" w:firstLine="284"/>
        <w:jc w:val="both"/>
        <w:rPr>
          <w:rFonts w:ascii="Bookman Old Style" w:hAnsi="Bookman Old Style" w:cs="BookmanOldStyle-Bold"/>
          <w:bCs/>
          <w:sz w:val="20"/>
        </w:rPr>
      </w:pPr>
      <w:r w:rsidRPr="00065735">
        <w:rPr>
          <w:rFonts w:ascii="Bookman Old Style" w:hAnsi="Bookman Old Style" w:cs="BookmanOldStyle"/>
          <w:sz w:val="20"/>
        </w:rPr>
        <w:t xml:space="preserve">                 </w:t>
      </w:r>
      <w:r w:rsidRPr="00563547">
        <w:rPr>
          <w:rFonts w:ascii="Bookman Old Style" w:hAnsi="Bookman Old Style" w:cs="BookmanOldStyle"/>
          <w:sz w:val="20"/>
        </w:rPr>
        <w:t xml:space="preserve">   </w:t>
      </w:r>
      <w:r w:rsidRPr="00FB27BD">
        <w:rPr>
          <w:rFonts w:ascii="Bookman Old Style" w:hAnsi="Bookman Old Style" w:cs="BookmanOldStyle"/>
          <w:sz w:val="20"/>
        </w:rPr>
        <w:t xml:space="preserve">- </w:t>
      </w:r>
      <w:r w:rsidRPr="00FB27BD">
        <w:rPr>
          <w:rFonts w:ascii="Bookman Old Style" w:hAnsi="Bookman Old Style" w:cs="BookmanOldStyle-Bold"/>
          <w:bCs/>
          <w:sz w:val="20"/>
        </w:rPr>
        <w:t>Οι ανωτέρω τιμές της προσφοράς είναι δε</w:t>
      </w:r>
      <w:r>
        <w:rPr>
          <w:rFonts w:ascii="Bookman Old Style" w:hAnsi="Bookman Old Style" w:cs="BookmanOldStyle-Bold"/>
          <w:bCs/>
          <w:sz w:val="20"/>
        </w:rPr>
        <w:t xml:space="preserve">σμευτικές για τον ανάδοχο και θα </w:t>
      </w:r>
      <w:r w:rsidRPr="00FB27BD">
        <w:rPr>
          <w:rFonts w:ascii="Bookman Old Style" w:hAnsi="Bookman Old Style" w:cs="BookmanOldStyle-Bold"/>
          <w:bCs/>
          <w:sz w:val="20"/>
        </w:rPr>
        <w:t>παραμείνουν</w:t>
      </w:r>
      <w:r w:rsidRPr="00563547"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σταθερές μέχρι την λήξη της σύμβασης.</w:t>
      </w:r>
    </w:p>
    <w:p w:rsidR="004B0EA7" w:rsidRPr="00FF5C5F" w:rsidRDefault="004B0EA7" w:rsidP="004B0EA7">
      <w:pPr>
        <w:autoSpaceDE w:val="0"/>
        <w:autoSpaceDN w:val="0"/>
        <w:adjustRightInd w:val="0"/>
        <w:ind w:left="-567" w:firstLine="284"/>
        <w:jc w:val="both"/>
        <w:rPr>
          <w:rFonts w:ascii="Bookman Old Style" w:hAnsi="Bookman Old Style" w:cs="BookmanOldStyle-Bold"/>
          <w:bCs/>
          <w:sz w:val="20"/>
        </w:rPr>
      </w:pPr>
      <w:r>
        <w:rPr>
          <w:rFonts w:ascii="Bookman Old Style" w:hAnsi="Bookman Old Style" w:cs="BookmanOldStyle"/>
          <w:sz w:val="20"/>
        </w:rPr>
        <w:t xml:space="preserve">               </w:t>
      </w:r>
      <w:r w:rsidRPr="00563547">
        <w:rPr>
          <w:rFonts w:ascii="Bookman Old Style" w:hAnsi="Bookman Old Style" w:cs="BookmanOldStyle"/>
          <w:sz w:val="20"/>
        </w:rPr>
        <w:t xml:space="preserve">           </w:t>
      </w:r>
      <w:r>
        <w:rPr>
          <w:rFonts w:ascii="Bookman Old Style" w:hAnsi="Bookman Old Style" w:cs="BookmanOldStyle"/>
          <w:sz w:val="20"/>
        </w:rPr>
        <w:t xml:space="preserve"> </w:t>
      </w:r>
      <w:r w:rsidRPr="00FB27BD">
        <w:rPr>
          <w:rFonts w:ascii="Bookman Old Style" w:hAnsi="Bookman Old Style" w:cs="BookmanOldStyle"/>
          <w:sz w:val="20"/>
        </w:rPr>
        <w:t xml:space="preserve">- </w:t>
      </w:r>
      <w:r w:rsidRPr="00FB27BD">
        <w:rPr>
          <w:rFonts w:ascii="Bookman Old Style" w:hAnsi="Bookman Old Style" w:cs="BookmanOldStyle-Bold"/>
          <w:bCs/>
          <w:sz w:val="20"/>
        </w:rPr>
        <w:t>Αύξηση τιμών των υπηρεσιών από τυ</w:t>
      </w:r>
      <w:r>
        <w:rPr>
          <w:rFonts w:ascii="Bookman Old Style" w:hAnsi="Bookman Old Style" w:cs="BookmanOldStyle-Bold"/>
          <w:bCs/>
          <w:sz w:val="20"/>
        </w:rPr>
        <w:t xml:space="preserve">χόν λάθη και παραλείψεις από τη </w:t>
      </w:r>
      <w:r w:rsidRPr="00FB27BD">
        <w:rPr>
          <w:rFonts w:ascii="Bookman Old Style" w:hAnsi="Bookman Old Style" w:cs="BookmanOldStyle-Bold"/>
          <w:bCs/>
          <w:sz w:val="20"/>
        </w:rPr>
        <w:t xml:space="preserve">πλευρά του </w:t>
      </w:r>
      <w:r w:rsidRPr="00563547">
        <w:rPr>
          <w:rFonts w:ascii="Bookman Old Style" w:hAnsi="Bookman Old Style" w:cs="BookmanOldStyle-Bold"/>
          <w:bCs/>
          <w:sz w:val="20"/>
        </w:rPr>
        <w:t xml:space="preserve"> </w:t>
      </w:r>
      <w:r w:rsidRPr="00FB27BD">
        <w:rPr>
          <w:rFonts w:ascii="Bookman Old Style" w:hAnsi="Bookman Old Style" w:cs="BookmanOldStyle-Bold"/>
          <w:bCs/>
          <w:sz w:val="20"/>
        </w:rPr>
        <w:t>αναδόχου δεν γίνονται αποδεκτές.</w:t>
      </w:r>
    </w:p>
    <w:p w:rsidR="004B0EA7" w:rsidRDefault="004B0EA7" w:rsidP="004B0EA7">
      <w:pPr>
        <w:ind w:left="-567" w:firstLine="284"/>
        <w:jc w:val="both"/>
        <w:rPr>
          <w:rFonts w:ascii="Bookman Old Style" w:hAnsi="Bookman Old Style"/>
          <w:bCs/>
          <w:sz w:val="20"/>
        </w:rPr>
      </w:pPr>
      <w:r w:rsidRPr="000B26F7">
        <w:rPr>
          <w:rFonts w:ascii="Bookman Old Style" w:hAnsi="Bookman Old Style"/>
          <w:bCs/>
          <w:sz w:val="20"/>
        </w:rPr>
        <w:t xml:space="preserve">               </w:t>
      </w:r>
      <w:r w:rsidRPr="000E3114">
        <w:rPr>
          <w:rFonts w:ascii="Bookman Old Style" w:hAnsi="Bookman Old Style"/>
          <w:bCs/>
          <w:sz w:val="20"/>
        </w:rPr>
        <w:t xml:space="preserve">Η προσφορά ισχύει για </w:t>
      </w:r>
      <w:proofErr w:type="spellStart"/>
      <w:r>
        <w:rPr>
          <w:rFonts w:ascii="Bookman Old Style" w:hAnsi="Bookman Old Style"/>
          <w:bCs/>
          <w:sz w:val="20"/>
        </w:rPr>
        <w:t>εκατόν</w:t>
      </w:r>
      <w:proofErr w:type="spellEnd"/>
      <w:r>
        <w:rPr>
          <w:rFonts w:ascii="Bookman Old Style" w:hAnsi="Bookman Old Style"/>
          <w:bCs/>
          <w:sz w:val="20"/>
        </w:rPr>
        <w:t xml:space="preserve"> είκοσι</w:t>
      </w:r>
      <w:r w:rsidRPr="000E3114">
        <w:rPr>
          <w:rFonts w:ascii="Bookman Old Style" w:hAnsi="Bookman Old Style"/>
          <w:bCs/>
          <w:sz w:val="20"/>
        </w:rPr>
        <w:t xml:space="preserve"> (</w:t>
      </w:r>
      <w:r>
        <w:rPr>
          <w:rFonts w:ascii="Bookman Old Style" w:hAnsi="Bookman Old Style"/>
          <w:bCs/>
          <w:sz w:val="20"/>
        </w:rPr>
        <w:t>120</w:t>
      </w:r>
      <w:r w:rsidRPr="000E3114">
        <w:rPr>
          <w:rFonts w:ascii="Bookman Old Style" w:hAnsi="Bookman Old Style"/>
          <w:bCs/>
          <w:sz w:val="20"/>
        </w:rPr>
        <w:t>) ημερολογιακές ημέρες.</w:t>
      </w:r>
    </w:p>
    <w:p w:rsidR="004B0EA7" w:rsidRDefault="004B0EA7" w:rsidP="004B0EA7">
      <w:pPr>
        <w:ind w:left="720" w:firstLine="720"/>
        <w:rPr>
          <w:rFonts w:ascii="Bookman Old Style" w:hAnsi="Bookman Old Style"/>
          <w:bCs/>
          <w:sz w:val="20"/>
        </w:rPr>
      </w:pPr>
    </w:p>
    <w:p w:rsidR="004B0EA7" w:rsidRPr="003A2606" w:rsidRDefault="004B0EA7" w:rsidP="004B0EA7">
      <w:pPr>
        <w:ind w:left="720" w:firstLine="720"/>
        <w:rPr>
          <w:rFonts w:ascii="Bookman Old Style" w:hAnsi="Bookman Old Style"/>
          <w:sz w:val="20"/>
        </w:rPr>
      </w:pPr>
      <w:r w:rsidRPr="003A2606">
        <w:rPr>
          <w:rFonts w:ascii="Bookman Old Style" w:hAnsi="Bookman Old Style"/>
          <w:sz w:val="20"/>
        </w:rPr>
        <w:t>[Τόπος]</w:t>
      </w:r>
      <w:r>
        <w:rPr>
          <w:rFonts w:ascii="Bookman Old Style" w:hAnsi="Bookman Old Style"/>
          <w:sz w:val="20"/>
        </w:rPr>
        <w:t>………………………, [Ημερομηνία]………..………</w:t>
      </w:r>
    </w:p>
    <w:p w:rsidR="004B0EA7" w:rsidRDefault="004B0EA7" w:rsidP="004B0EA7">
      <w:pPr>
        <w:jc w:val="center"/>
        <w:rPr>
          <w:rFonts w:ascii="Bookman Old Style" w:hAnsi="Bookman Old Style"/>
          <w:sz w:val="20"/>
        </w:rPr>
      </w:pPr>
      <w:r w:rsidRPr="003A2606">
        <w:rPr>
          <w:rFonts w:ascii="Bookman Old Style" w:hAnsi="Bookman Old Style"/>
          <w:sz w:val="20"/>
        </w:rPr>
        <w:t>Για τον προσφέροντα</w:t>
      </w:r>
    </w:p>
    <w:p w:rsidR="004B0EA7" w:rsidRDefault="004B0EA7" w:rsidP="004B0EA7">
      <w:pPr>
        <w:jc w:val="center"/>
        <w:rPr>
          <w:rFonts w:ascii="Bookman Old Style" w:hAnsi="Bookman Old Style"/>
          <w:sz w:val="20"/>
        </w:rPr>
      </w:pPr>
    </w:p>
    <w:p w:rsidR="004B0EA7" w:rsidRDefault="004B0EA7" w:rsidP="004B0EA7">
      <w:pPr>
        <w:jc w:val="center"/>
        <w:rPr>
          <w:rFonts w:ascii="Bookman Old Style" w:hAnsi="Bookman Old Style"/>
          <w:sz w:val="20"/>
        </w:rPr>
      </w:pPr>
    </w:p>
    <w:p w:rsidR="004B0EA7" w:rsidRDefault="004B0EA7" w:rsidP="004B0EA7">
      <w:pPr>
        <w:jc w:val="center"/>
        <w:rPr>
          <w:rFonts w:ascii="Bookman Old Style" w:hAnsi="Bookman Old Style"/>
          <w:sz w:val="20"/>
        </w:rPr>
      </w:pPr>
      <w:r w:rsidRPr="003A2606">
        <w:rPr>
          <w:rFonts w:ascii="Bookman Old Style" w:hAnsi="Bookman Old Style"/>
          <w:sz w:val="20"/>
        </w:rPr>
        <w:t>Ο νόμιμος Εκπρόσωπος</w:t>
      </w:r>
    </w:p>
    <w:p w:rsidR="006B3698" w:rsidRPr="004B0EA7" w:rsidRDefault="004B0EA7" w:rsidP="004B0EA7">
      <w:pPr>
        <w:jc w:val="center"/>
        <w:rPr>
          <w:rFonts w:ascii="Bookman Old Style" w:hAnsi="Bookman Old Style"/>
          <w:sz w:val="20"/>
        </w:rPr>
      </w:pPr>
      <w:r w:rsidRPr="003A2606">
        <w:rPr>
          <w:rFonts w:ascii="Bookman Old Style" w:hAnsi="Bookman Old Style"/>
          <w:sz w:val="20"/>
        </w:rPr>
        <w:t>(Υπογραφή και Σφραγίδα</w:t>
      </w:r>
      <w:r>
        <w:rPr>
          <w:rFonts w:ascii="Bookman Old Style" w:hAnsi="Bookman Old Style"/>
          <w:sz w:val="20"/>
        </w:rPr>
        <w:t>)</w:t>
      </w:r>
    </w:p>
    <w:sectPr w:rsidR="006B3698" w:rsidRPr="004B0EA7" w:rsidSect="004B0EA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manOldStyle-Bold">
    <w:altName w:val="MS Gothic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BookmanOldStyle">
    <w:altName w:val="MS Gothic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7"/>
    <w:rsid w:val="004B0EA7"/>
    <w:rsid w:val="006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ACA2"/>
  <w15:chartTrackingRefBased/>
  <w15:docId w15:val="{D9F4044B-E37C-4E3B-A4B7-6D5F4F2A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Giannaka</dc:creator>
  <cp:keywords/>
  <dc:description/>
  <cp:lastModifiedBy>Sofia Giannaka</cp:lastModifiedBy>
  <cp:revision>1</cp:revision>
  <dcterms:created xsi:type="dcterms:W3CDTF">2021-11-10T13:15:00Z</dcterms:created>
  <dcterms:modified xsi:type="dcterms:W3CDTF">2021-11-10T13:19:00Z</dcterms:modified>
</cp:coreProperties>
</file>