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CD" w:rsidRPr="007D1768" w:rsidRDefault="00221BCD" w:rsidP="00221BCD">
      <w:pPr>
        <w:outlineLvl w:val="0"/>
        <w:rPr>
          <w:rFonts w:ascii="Helvetica" w:hAnsi="Helvetica"/>
          <w:szCs w:val="24"/>
          <w:lang w:val="en-CA"/>
        </w:rPr>
      </w:pPr>
      <w:r w:rsidRPr="007D1768">
        <w:rPr>
          <w:rFonts w:ascii="Helvetica" w:hAnsi="Helvetica"/>
          <w:b/>
          <w:bCs/>
          <w:szCs w:val="24"/>
          <w:lang w:val="en-CA"/>
        </w:rPr>
        <w:t>TERMS OF REFERENCE</w:t>
      </w:r>
    </w:p>
    <w:p w:rsidR="00221BCD" w:rsidRPr="007D1768" w:rsidRDefault="00221BCD" w:rsidP="00221BCD">
      <w:pPr>
        <w:outlineLvl w:val="0"/>
        <w:rPr>
          <w:rFonts w:ascii="Helvetica" w:hAnsi="Helvetica"/>
          <w:b/>
          <w:bCs/>
          <w:szCs w:val="24"/>
          <w:lang w:val="en-CA"/>
        </w:rPr>
      </w:pPr>
    </w:p>
    <w:p w:rsidR="00221BCD" w:rsidRPr="0041593B" w:rsidRDefault="00221BCD" w:rsidP="00221BCD">
      <w:pPr>
        <w:jc w:val="center"/>
        <w:rPr>
          <w:rFonts w:ascii="Helvetica" w:hAnsi="Helvetica"/>
          <w:b/>
          <w:sz w:val="36"/>
          <w:szCs w:val="36"/>
          <w:lang w:val="en-CA"/>
        </w:rPr>
      </w:pPr>
      <w:r w:rsidRPr="0041593B">
        <w:rPr>
          <w:rFonts w:ascii="Helvetica" w:hAnsi="Helvetica"/>
          <w:b/>
          <w:sz w:val="36"/>
          <w:szCs w:val="36"/>
          <w:lang w:val="en-CA"/>
        </w:rPr>
        <w:t>DIFFERENTIAL TUITION FEE EXEMPTION FOR GREECE</w:t>
      </w:r>
    </w:p>
    <w:p w:rsidR="00221BCD" w:rsidRPr="00D61D94" w:rsidRDefault="00221BCD" w:rsidP="00221BCD">
      <w:pPr>
        <w:jc w:val="center"/>
        <w:rPr>
          <w:rFonts w:ascii="Helvetica" w:hAnsi="Helvetica"/>
          <w:szCs w:val="24"/>
          <w:lang w:val="en-CA"/>
        </w:rPr>
      </w:pPr>
    </w:p>
    <w:p w:rsidR="00221BCD" w:rsidRPr="007D1768" w:rsidRDefault="00221BCD" w:rsidP="00221BCD">
      <w:pPr>
        <w:jc w:val="both"/>
        <w:rPr>
          <w:rFonts w:ascii="Helvetica" w:hAnsi="Helvetica"/>
          <w:i/>
          <w:iCs/>
          <w:szCs w:val="24"/>
          <w:lang w:val="en-CA"/>
        </w:rPr>
      </w:pPr>
      <w:r w:rsidRPr="007D1768">
        <w:rPr>
          <w:rFonts w:ascii="Helvetica" w:hAnsi="Helvetica"/>
          <w:b/>
          <w:bCs/>
          <w:szCs w:val="24"/>
          <w:lang w:val="en-CA"/>
        </w:rPr>
        <w:t>INTRODUCTION</w:t>
      </w:r>
    </w:p>
    <w:p w:rsidR="00221BCD" w:rsidRDefault="00221BCD" w:rsidP="00221BCD">
      <w:pPr>
        <w:jc w:val="both"/>
        <w:rPr>
          <w:rFonts w:ascii="Helvetica" w:hAnsi="Helvetica"/>
        </w:rPr>
      </w:pPr>
      <w:r>
        <w:rPr>
          <w:rFonts w:ascii="Helvetica" w:hAnsi="Helvetica"/>
        </w:rPr>
        <w:t>In 2012, in celebration of the 70</w:t>
      </w:r>
      <w:r w:rsidRPr="00C740C9">
        <w:rPr>
          <w:rFonts w:ascii="Helvetica" w:hAnsi="Helvetica"/>
          <w:vertAlign w:val="superscript"/>
        </w:rPr>
        <w:t>th</w:t>
      </w:r>
      <w:r>
        <w:rPr>
          <w:rFonts w:ascii="Helvetica" w:hAnsi="Helvetica"/>
        </w:rPr>
        <w:t xml:space="preserve"> anniversary of Greece-Canada relations and to build the foundation for future prosperity between our two countries, the University of Ottawa announced that for five years it will provide two international differential tuition fee exemptions for Greek citizens (one to study in English and the other to study in French).</w:t>
      </w:r>
    </w:p>
    <w:p w:rsidR="00221BCD" w:rsidRDefault="00221BCD" w:rsidP="00221BCD">
      <w:pPr>
        <w:jc w:val="both"/>
        <w:rPr>
          <w:rFonts w:ascii="Helvetica" w:hAnsi="Helvetica"/>
        </w:rPr>
      </w:pPr>
    </w:p>
    <w:p w:rsidR="00221BCD" w:rsidRPr="007D1768" w:rsidRDefault="00221BCD" w:rsidP="00221BCD">
      <w:pPr>
        <w:jc w:val="both"/>
        <w:rPr>
          <w:rFonts w:ascii="Helvetica" w:hAnsi="Helvetica"/>
          <w:b/>
          <w:szCs w:val="24"/>
          <w:lang w:val="en-CA"/>
        </w:rPr>
      </w:pPr>
      <w:r w:rsidRPr="007D1768">
        <w:rPr>
          <w:rFonts w:ascii="Helvetica" w:hAnsi="Helvetica"/>
          <w:b/>
          <w:szCs w:val="24"/>
          <w:lang w:val="en-CA"/>
        </w:rPr>
        <w:t>PURPOSE OF FUND</w:t>
      </w:r>
    </w:p>
    <w:p w:rsidR="00221BCD" w:rsidRDefault="00221BCD" w:rsidP="00221BCD">
      <w:pPr>
        <w:jc w:val="both"/>
        <w:rPr>
          <w:rFonts w:ascii="Helvetica" w:hAnsi="Helvetica"/>
          <w:szCs w:val="24"/>
          <w:lang w:val="en-CA"/>
        </w:rPr>
      </w:pPr>
      <w:r w:rsidRPr="008C3E06">
        <w:rPr>
          <w:rFonts w:ascii="Helvetica" w:hAnsi="Helvetica"/>
          <w:szCs w:val="24"/>
          <w:lang w:val="en-CA"/>
        </w:rPr>
        <w:t>The pu</w:t>
      </w:r>
      <w:r>
        <w:rPr>
          <w:rFonts w:ascii="Helvetica" w:hAnsi="Helvetica"/>
          <w:szCs w:val="24"/>
          <w:lang w:val="en-CA"/>
        </w:rPr>
        <w:t>rpose of this fund is to award differential tuition fee exemptions to Greek citizens with permanent residence in Greece who have been accepted to attend the University of Ottawa to pursue a graduate degree</w:t>
      </w:r>
      <w:r w:rsidRPr="008C3E06">
        <w:rPr>
          <w:rFonts w:ascii="Helvetica" w:hAnsi="Helvetica"/>
          <w:szCs w:val="24"/>
          <w:lang w:val="en-CA"/>
        </w:rPr>
        <w:t>.</w:t>
      </w:r>
    </w:p>
    <w:p w:rsidR="00221BCD" w:rsidRPr="007D1768" w:rsidRDefault="00221BCD" w:rsidP="00221BCD">
      <w:pPr>
        <w:jc w:val="both"/>
        <w:rPr>
          <w:rFonts w:ascii="Helvetica" w:hAnsi="Helvetica"/>
          <w:b/>
          <w:bCs/>
          <w:szCs w:val="24"/>
          <w:lang w:val="en-CA"/>
        </w:rPr>
      </w:pPr>
      <w:r w:rsidRPr="007D1768">
        <w:rPr>
          <w:rFonts w:ascii="Helvetica" w:hAnsi="Helvetica"/>
          <w:b/>
          <w:bCs/>
          <w:szCs w:val="24"/>
          <w:lang w:val="en-CA"/>
        </w:rPr>
        <w:t xml:space="preserve"> </w:t>
      </w:r>
    </w:p>
    <w:p w:rsidR="00221BCD" w:rsidRPr="007D1768" w:rsidRDefault="00221BCD" w:rsidP="00221BCD">
      <w:pPr>
        <w:jc w:val="both"/>
        <w:rPr>
          <w:rFonts w:ascii="Helvetica" w:hAnsi="Helvetica"/>
          <w:szCs w:val="24"/>
          <w:lang w:val="en-CA"/>
        </w:rPr>
      </w:pPr>
      <w:r>
        <w:rPr>
          <w:rFonts w:ascii="Helvetica" w:hAnsi="Helvetica"/>
          <w:b/>
          <w:bCs/>
          <w:szCs w:val="24"/>
          <w:lang w:val="en-CA"/>
        </w:rPr>
        <w:t>DIFFERENTIAL TUITION FEE EXEMPTION</w:t>
      </w:r>
      <w:r w:rsidRPr="007D1768">
        <w:rPr>
          <w:rFonts w:ascii="Helvetica" w:hAnsi="Helvetica"/>
          <w:b/>
          <w:bCs/>
          <w:szCs w:val="24"/>
          <w:lang w:val="en-CA"/>
        </w:rPr>
        <w:t xml:space="preserve"> DETAILS</w:t>
      </w:r>
    </w:p>
    <w:p w:rsidR="00221BCD" w:rsidRPr="007D1768" w:rsidRDefault="00221BCD" w:rsidP="00221BCD">
      <w:pPr>
        <w:jc w:val="both"/>
        <w:rPr>
          <w:rFonts w:ascii="Helvetica" w:hAnsi="Helvetica"/>
          <w:szCs w:val="24"/>
          <w:lang w:val="en-CA"/>
        </w:rPr>
      </w:pPr>
      <w:r w:rsidRPr="007D1768">
        <w:rPr>
          <w:rFonts w:ascii="Helvetica" w:hAnsi="Helvetica"/>
          <w:b/>
          <w:bCs/>
          <w:szCs w:val="24"/>
          <w:lang w:val="en-CA"/>
        </w:rPr>
        <w:t xml:space="preserve">Eligibility Criteria </w:t>
      </w:r>
    </w:p>
    <w:p w:rsidR="00221BCD" w:rsidRPr="007D1768" w:rsidRDefault="00221BCD" w:rsidP="00221BCD">
      <w:pPr>
        <w:tabs>
          <w:tab w:val="left" w:pos="720"/>
          <w:tab w:val="left" w:pos="1440"/>
          <w:tab w:val="left" w:pos="2160"/>
        </w:tabs>
        <w:ind w:left="2160" w:hanging="2160"/>
        <w:jc w:val="both"/>
        <w:rPr>
          <w:rFonts w:ascii="Helvetica" w:hAnsi="Helvetica"/>
          <w:szCs w:val="24"/>
          <w:lang w:val="en-CA"/>
        </w:rPr>
      </w:pPr>
      <w:r>
        <w:rPr>
          <w:rFonts w:ascii="Helvetica" w:hAnsi="Helvetica"/>
          <w:szCs w:val="24"/>
          <w:lang w:val="en-CA"/>
        </w:rPr>
        <w:t>The applicant</w:t>
      </w:r>
      <w:r w:rsidRPr="007D1768">
        <w:rPr>
          <w:rFonts w:ascii="Helvetica" w:hAnsi="Helvetica"/>
          <w:szCs w:val="24"/>
          <w:lang w:val="en-CA"/>
        </w:rPr>
        <w:t xml:space="preserve"> must:</w:t>
      </w:r>
      <w:r w:rsidRPr="007D1768">
        <w:rPr>
          <w:rFonts w:ascii="Helvetica" w:hAnsi="Helvetica"/>
          <w:i/>
          <w:iCs/>
          <w:szCs w:val="24"/>
          <w:lang w:val="en-CA"/>
        </w:rPr>
        <w:t xml:space="preserve"> </w:t>
      </w:r>
    </w:p>
    <w:p w:rsidR="00221BCD" w:rsidRPr="00DF1B37" w:rsidRDefault="00221BCD" w:rsidP="00221BCD">
      <w:pPr>
        <w:pStyle w:val="Level1"/>
        <w:widowControl/>
        <w:tabs>
          <w:tab w:val="left" w:pos="-1440"/>
        </w:tabs>
        <w:ind w:left="540" w:hanging="540"/>
        <w:rPr>
          <w:rFonts w:ascii="Helvetica" w:hAnsi="Helvetica"/>
        </w:rPr>
      </w:pPr>
      <w:r>
        <w:rPr>
          <w:rFonts w:ascii="Helvetica" w:hAnsi="Helvetica"/>
        </w:rPr>
        <w:tab/>
        <w:t>be a Greek citizen with permanent resident status in Greece;</w:t>
      </w:r>
    </w:p>
    <w:p w:rsidR="00221BCD" w:rsidRDefault="00221BCD" w:rsidP="00221BCD">
      <w:pPr>
        <w:pStyle w:val="Level1"/>
        <w:widowControl/>
        <w:tabs>
          <w:tab w:val="left" w:pos="-1440"/>
        </w:tabs>
        <w:ind w:left="540" w:hanging="540"/>
        <w:jc w:val="both"/>
        <w:rPr>
          <w:rFonts w:ascii="Helvetica" w:hAnsi="Helvetica"/>
        </w:rPr>
      </w:pPr>
      <w:r>
        <w:rPr>
          <w:rFonts w:ascii="Helvetica" w:hAnsi="Helvetica"/>
        </w:rPr>
        <w:tab/>
      </w:r>
      <w:r w:rsidRPr="00BF79D7">
        <w:rPr>
          <w:rFonts w:ascii="Helvetica" w:hAnsi="Helvetica"/>
        </w:rPr>
        <w:t xml:space="preserve">be </w:t>
      </w:r>
      <w:r>
        <w:rPr>
          <w:rFonts w:ascii="Helvetica" w:hAnsi="Helvetica"/>
        </w:rPr>
        <w:t xml:space="preserve">accepted and thereafter </w:t>
      </w:r>
      <w:r w:rsidRPr="00BF79D7">
        <w:rPr>
          <w:rFonts w:ascii="Helvetica" w:hAnsi="Helvetica"/>
        </w:rPr>
        <w:t xml:space="preserve">registered as a full-time </w:t>
      </w:r>
      <w:r>
        <w:rPr>
          <w:rFonts w:ascii="Helvetica" w:hAnsi="Helvetica"/>
        </w:rPr>
        <w:t>graduate Master’s or Ph.D. student at the University of Ottawa; and</w:t>
      </w:r>
    </w:p>
    <w:p w:rsidR="00221BCD" w:rsidRPr="000A1043" w:rsidRDefault="00221BCD" w:rsidP="00221BCD">
      <w:pPr>
        <w:pStyle w:val="Level1"/>
        <w:widowControl/>
        <w:tabs>
          <w:tab w:val="left" w:pos="-1440"/>
        </w:tabs>
        <w:ind w:left="540" w:hanging="540"/>
        <w:jc w:val="both"/>
        <w:rPr>
          <w:rFonts w:ascii="Helvetica" w:hAnsi="Helvetica"/>
        </w:rPr>
      </w:pPr>
      <w:r>
        <w:rPr>
          <w:rFonts w:ascii="Helvetica" w:hAnsi="Helvetica"/>
        </w:rPr>
        <w:t xml:space="preserve"> </w:t>
      </w:r>
      <w:r>
        <w:rPr>
          <w:rFonts w:ascii="Helvetica" w:hAnsi="Helvetica"/>
        </w:rPr>
        <w:tab/>
        <w:t>have a minimum admission grade point average (GPA) of 8.0/10, based on the Faculty of Graduate and Postdoctoral Studies (FGPS) calculation method for admission to a graduate program.</w:t>
      </w:r>
    </w:p>
    <w:p w:rsidR="00221BCD" w:rsidRPr="00165696" w:rsidRDefault="00221BCD" w:rsidP="00221BCD">
      <w:pPr>
        <w:ind w:left="720"/>
        <w:jc w:val="both"/>
        <w:rPr>
          <w:rFonts w:ascii="Helvetica" w:hAnsi="Helvetica"/>
        </w:rPr>
      </w:pPr>
    </w:p>
    <w:p w:rsidR="00221BCD" w:rsidRDefault="00221BCD" w:rsidP="00221BCD">
      <w:pPr>
        <w:numPr>
          <w:ilvl w:val="12"/>
          <w:numId w:val="0"/>
        </w:numPr>
        <w:tabs>
          <w:tab w:val="left" w:pos="720"/>
          <w:tab w:val="left" w:pos="1440"/>
          <w:tab w:val="left" w:pos="2160"/>
          <w:tab w:val="left" w:pos="2880"/>
        </w:tabs>
        <w:ind w:left="3600" w:hanging="3600"/>
        <w:jc w:val="both"/>
        <w:rPr>
          <w:rFonts w:ascii="Helvetica" w:hAnsi="Helvetica"/>
          <w:szCs w:val="24"/>
          <w:lang w:val="en-CA"/>
        </w:rPr>
      </w:pPr>
      <w:r>
        <w:rPr>
          <w:rFonts w:ascii="Helvetica" w:hAnsi="Helvetica"/>
          <w:b/>
          <w:bCs/>
          <w:szCs w:val="24"/>
          <w:lang w:val="en-CA"/>
        </w:rPr>
        <w:t>Value</w:t>
      </w:r>
      <w:r w:rsidRPr="007D1768">
        <w:rPr>
          <w:rFonts w:ascii="Helvetica" w:hAnsi="Helvetica"/>
          <w:b/>
          <w:bCs/>
          <w:szCs w:val="24"/>
          <w:lang w:val="en-CA"/>
        </w:rPr>
        <w:t>:</w:t>
      </w:r>
      <w:r w:rsidRPr="007D1768">
        <w:rPr>
          <w:rFonts w:ascii="Helvetica" w:hAnsi="Helvetica"/>
          <w:b/>
          <w:bCs/>
          <w:szCs w:val="24"/>
          <w:lang w:val="en-CA"/>
        </w:rPr>
        <w:tab/>
      </w:r>
      <w:r>
        <w:rPr>
          <w:rFonts w:ascii="Helvetica" w:hAnsi="Helvetica"/>
          <w:b/>
          <w:bCs/>
          <w:szCs w:val="24"/>
          <w:lang w:val="en-CA"/>
        </w:rPr>
        <w:tab/>
      </w:r>
      <w:r>
        <w:rPr>
          <w:rFonts w:ascii="Helvetica" w:hAnsi="Helvetica"/>
          <w:b/>
          <w:bCs/>
          <w:szCs w:val="24"/>
          <w:lang w:val="en-CA"/>
        </w:rPr>
        <w:tab/>
      </w:r>
      <w:r>
        <w:rPr>
          <w:rFonts w:ascii="Helvetica" w:hAnsi="Helvetica"/>
          <w:b/>
          <w:bCs/>
          <w:szCs w:val="24"/>
          <w:lang w:val="en-CA"/>
        </w:rPr>
        <w:tab/>
      </w:r>
      <w:r w:rsidRPr="00423181">
        <w:rPr>
          <w:rFonts w:ascii="Helvetica" w:hAnsi="Helvetica"/>
          <w:bCs/>
          <w:szCs w:val="24"/>
          <w:lang w:val="en-CA"/>
        </w:rPr>
        <w:t>exemption from differential</w:t>
      </w:r>
      <w:r>
        <w:rPr>
          <w:rFonts w:ascii="Helvetica" w:hAnsi="Helvetica"/>
          <w:b/>
          <w:bCs/>
          <w:szCs w:val="24"/>
          <w:lang w:val="en-CA"/>
        </w:rPr>
        <w:t xml:space="preserve"> </w:t>
      </w:r>
      <w:r>
        <w:rPr>
          <w:rFonts w:ascii="Helvetica" w:hAnsi="Helvetica"/>
          <w:szCs w:val="24"/>
          <w:lang w:val="en-CA"/>
        </w:rPr>
        <w:t>tuition fees between international and Canadian fees (Student pays the equivalent of Canadian tuition fees and all other fees) up to 2 years for Master’s degrees or 4 years for Ph.D. degrees</w:t>
      </w:r>
    </w:p>
    <w:p w:rsidR="00221BCD" w:rsidRPr="007D1768" w:rsidRDefault="00221BCD" w:rsidP="00221BCD">
      <w:pPr>
        <w:numPr>
          <w:ilvl w:val="12"/>
          <w:numId w:val="0"/>
        </w:numPr>
        <w:tabs>
          <w:tab w:val="left" w:pos="720"/>
          <w:tab w:val="left" w:pos="1440"/>
          <w:tab w:val="left" w:pos="2160"/>
          <w:tab w:val="left" w:pos="2880"/>
        </w:tabs>
        <w:ind w:left="3600" w:hanging="3600"/>
        <w:jc w:val="both"/>
        <w:rPr>
          <w:rFonts w:ascii="Helvetica" w:hAnsi="Helvetica"/>
          <w:szCs w:val="24"/>
          <w:lang w:val="en-CA"/>
        </w:rPr>
      </w:pPr>
      <w:r>
        <w:rPr>
          <w:rFonts w:ascii="Helvetica" w:hAnsi="Helvetica"/>
          <w:b/>
          <w:bCs/>
          <w:szCs w:val="24"/>
          <w:lang w:val="en-CA"/>
        </w:rPr>
        <w:t>Number</w:t>
      </w:r>
      <w:r w:rsidRPr="007D1768">
        <w:rPr>
          <w:rFonts w:ascii="Helvetica" w:hAnsi="Helvetica"/>
          <w:b/>
          <w:bCs/>
          <w:szCs w:val="24"/>
          <w:lang w:val="en-CA"/>
        </w:rPr>
        <w:t>:</w:t>
      </w:r>
      <w:r>
        <w:rPr>
          <w:rFonts w:ascii="Helvetica" w:hAnsi="Helvetica"/>
          <w:b/>
          <w:bCs/>
          <w:szCs w:val="24"/>
          <w:lang w:val="en-CA"/>
        </w:rPr>
        <w:tab/>
      </w:r>
      <w:r>
        <w:rPr>
          <w:rFonts w:ascii="Helvetica" w:hAnsi="Helvetica"/>
          <w:b/>
          <w:bCs/>
          <w:szCs w:val="24"/>
          <w:lang w:val="en-CA"/>
        </w:rPr>
        <w:tab/>
      </w:r>
      <w:r w:rsidRPr="007D1768">
        <w:rPr>
          <w:rFonts w:ascii="Helvetica" w:hAnsi="Helvetica"/>
          <w:szCs w:val="24"/>
          <w:lang w:val="en-CA"/>
        </w:rPr>
        <w:tab/>
      </w:r>
      <w:r>
        <w:rPr>
          <w:rFonts w:ascii="Helvetica" w:hAnsi="Helvetica"/>
          <w:szCs w:val="24"/>
          <w:lang w:val="en-CA"/>
        </w:rPr>
        <w:tab/>
        <w:t>2 (one in English; one in French as noted in Introduction)</w:t>
      </w:r>
    </w:p>
    <w:p w:rsidR="00221BCD" w:rsidRPr="007D1768" w:rsidRDefault="00221BCD" w:rsidP="00221BCD">
      <w:pPr>
        <w:numPr>
          <w:ilvl w:val="12"/>
          <w:numId w:val="0"/>
        </w:numPr>
        <w:ind w:left="3600" w:hanging="3600"/>
        <w:jc w:val="both"/>
        <w:rPr>
          <w:rFonts w:ascii="Helvetica" w:hAnsi="Helvetica"/>
          <w:szCs w:val="24"/>
          <w:lang w:val="en-CA"/>
        </w:rPr>
      </w:pPr>
      <w:r>
        <w:rPr>
          <w:rFonts w:ascii="Helvetica" w:hAnsi="Helvetica"/>
          <w:b/>
          <w:bCs/>
          <w:szCs w:val="24"/>
          <w:lang w:val="en-CA"/>
        </w:rPr>
        <w:t>Frequency</w:t>
      </w:r>
      <w:r w:rsidRPr="007D1768">
        <w:rPr>
          <w:rFonts w:ascii="Helvetica" w:hAnsi="Helvetica"/>
          <w:b/>
          <w:bCs/>
          <w:szCs w:val="24"/>
          <w:lang w:val="en-CA"/>
        </w:rPr>
        <w:t>:</w:t>
      </w:r>
      <w:r w:rsidRPr="007D1768">
        <w:rPr>
          <w:rFonts w:ascii="Helvetica" w:hAnsi="Helvetica"/>
          <w:szCs w:val="24"/>
          <w:lang w:val="en-CA"/>
        </w:rPr>
        <w:tab/>
        <w:t>Annual</w:t>
      </w:r>
      <w:r>
        <w:rPr>
          <w:rFonts w:ascii="Helvetica" w:hAnsi="Helvetica"/>
          <w:szCs w:val="24"/>
          <w:lang w:val="en-CA"/>
        </w:rPr>
        <w:t xml:space="preserve"> (until August 2019; the University of Ottawa may decide to continue this commitment beyond this timeframe)</w:t>
      </w:r>
    </w:p>
    <w:p w:rsidR="00221BCD" w:rsidRPr="009E2ACD" w:rsidRDefault="00221BCD" w:rsidP="00221BCD">
      <w:pPr>
        <w:numPr>
          <w:ilvl w:val="12"/>
          <w:numId w:val="0"/>
        </w:numPr>
        <w:tabs>
          <w:tab w:val="left" w:pos="720"/>
          <w:tab w:val="left" w:pos="1440"/>
          <w:tab w:val="left" w:pos="2160"/>
          <w:tab w:val="left" w:pos="2880"/>
        </w:tabs>
        <w:ind w:left="2880" w:hanging="2880"/>
        <w:jc w:val="both"/>
        <w:rPr>
          <w:rFonts w:ascii="Helvetica" w:hAnsi="Helvetica"/>
          <w:szCs w:val="24"/>
          <w:lang w:val="en-CA"/>
        </w:rPr>
      </w:pPr>
      <w:r w:rsidRPr="007D1768">
        <w:rPr>
          <w:rFonts w:ascii="Helvetica" w:hAnsi="Helvetica"/>
          <w:b/>
          <w:bCs/>
          <w:szCs w:val="24"/>
          <w:lang w:val="en-CA"/>
        </w:rPr>
        <w:t xml:space="preserve">Level </w:t>
      </w:r>
      <w:r>
        <w:rPr>
          <w:rFonts w:ascii="Helvetica" w:hAnsi="Helvetica"/>
          <w:b/>
          <w:bCs/>
          <w:szCs w:val="24"/>
          <w:lang w:val="en-CA"/>
        </w:rPr>
        <w:t>or program of study</w:t>
      </w:r>
      <w:r w:rsidRPr="007D1768">
        <w:rPr>
          <w:rFonts w:ascii="Helvetica" w:hAnsi="Helvetica"/>
          <w:b/>
          <w:bCs/>
          <w:szCs w:val="24"/>
          <w:lang w:val="en-CA"/>
        </w:rPr>
        <w:t>:</w:t>
      </w:r>
      <w:r w:rsidRPr="007D1768">
        <w:rPr>
          <w:rFonts w:ascii="Helvetica" w:hAnsi="Helvetica"/>
          <w:szCs w:val="24"/>
          <w:lang w:val="en-CA"/>
        </w:rPr>
        <w:t xml:space="preserve"> </w:t>
      </w:r>
      <w:r w:rsidRPr="007D1768">
        <w:rPr>
          <w:rFonts w:ascii="Helvetica" w:hAnsi="Helvetica"/>
          <w:szCs w:val="24"/>
          <w:lang w:val="en-CA"/>
        </w:rPr>
        <w:tab/>
      </w:r>
      <w:r>
        <w:rPr>
          <w:rFonts w:ascii="Helvetica" w:hAnsi="Helvetica"/>
          <w:szCs w:val="24"/>
          <w:lang w:val="en-CA"/>
        </w:rPr>
        <w:t>Graduate (Master’s or Ph.D. programs)</w:t>
      </w:r>
    </w:p>
    <w:p w:rsidR="00221BCD" w:rsidRPr="007D1768" w:rsidRDefault="00221BCD" w:rsidP="00221BCD">
      <w:pPr>
        <w:numPr>
          <w:ilvl w:val="12"/>
          <w:numId w:val="0"/>
        </w:numPr>
        <w:ind w:left="3600" w:hanging="3600"/>
        <w:jc w:val="both"/>
        <w:rPr>
          <w:rFonts w:ascii="Helvetica" w:hAnsi="Helvetica"/>
          <w:szCs w:val="24"/>
          <w:lang w:val="en-CA"/>
        </w:rPr>
      </w:pPr>
      <w:r w:rsidRPr="007D1768">
        <w:rPr>
          <w:rFonts w:ascii="Helvetica" w:hAnsi="Helvetica"/>
          <w:b/>
          <w:bCs/>
          <w:szCs w:val="24"/>
          <w:lang w:val="en-CA"/>
        </w:rPr>
        <w:t xml:space="preserve">Application </w:t>
      </w:r>
      <w:r>
        <w:rPr>
          <w:rFonts w:ascii="Helvetica" w:hAnsi="Helvetica"/>
          <w:b/>
          <w:bCs/>
          <w:szCs w:val="24"/>
          <w:lang w:val="en-CA"/>
        </w:rPr>
        <w:t>c</w:t>
      </w:r>
      <w:r w:rsidRPr="007D1768">
        <w:rPr>
          <w:rFonts w:ascii="Helvetica" w:hAnsi="Helvetica"/>
          <w:b/>
          <w:bCs/>
          <w:szCs w:val="24"/>
          <w:lang w:val="en-CA"/>
        </w:rPr>
        <w:t>ontact:</w:t>
      </w:r>
      <w:r w:rsidRPr="007D1768">
        <w:rPr>
          <w:rFonts w:ascii="Helvetica" w:hAnsi="Helvetica"/>
          <w:szCs w:val="24"/>
          <w:lang w:val="en-CA"/>
        </w:rPr>
        <w:tab/>
      </w:r>
      <w:r>
        <w:rPr>
          <w:rFonts w:ascii="Helvetica" w:hAnsi="Helvetica"/>
          <w:szCs w:val="24"/>
          <w:lang w:val="en-CA"/>
        </w:rPr>
        <w:t>Awards Office, FGPS</w:t>
      </w:r>
    </w:p>
    <w:p w:rsidR="00221BCD" w:rsidRPr="007D1768" w:rsidRDefault="00221BCD" w:rsidP="00221BCD">
      <w:pPr>
        <w:numPr>
          <w:ilvl w:val="12"/>
          <w:numId w:val="0"/>
        </w:numPr>
        <w:ind w:left="3600" w:hanging="3600"/>
        <w:jc w:val="both"/>
        <w:rPr>
          <w:rFonts w:ascii="Helvetica" w:hAnsi="Helvetica"/>
          <w:szCs w:val="24"/>
          <w:lang w:val="en-CA"/>
        </w:rPr>
      </w:pPr>
      <w:r w:rsidRPr="007D1768">
        <w:rPr>
          <w:rFonts w:ascii="Helvetica" w:hAnsi="Helvetica"/>
          <w:b/>
          <w:bCs/>
          <w:szCs w:val="24"/>
          <w:lang w:val="en-CA"/>
        </w:rPr>
        <w:t xml:space="preserve">Application </w:t>
      </w:r>
      <w:r>
        <w:rPr>
          <w:rFonts w:ascii="Helvetica" w:hAnsi="Helvetica"/>
          <w:b/>
          <w:bCs/>
          <w:szCs w:val="24"/>
          <w:lang w:val="en-CA"/>
        </w:rPr>
        <w:t>d</w:t>
      </w:r>
      <w:r w:rsidRPr="007D1768">
        <w:rPr>
          <w:rFonts w:ascii="Helvetica" w:hAnsi="Helvetica"/>
          <w:b/>
          <w:bCs/>
          <w:szCs w:val="24"/>
          <w:lang w:val="en-CA"/>
        </w:rPr>
        <w:t>eadline:</w:t>
      </w:r>
      <w:r w:rsidRPr="007D1768">
        <w:rPr>
          <w:rFonts w:ascii="Helvetica" w:hAnsi="Helvetica"/>
          <w:szCs w:val="24"/>
          <w:lang w:val="en-CA"/>
        </w:rPr>
        <w:tab/>
      </w:r>
      <w:r>
        <w:rPr>
          <w:rFonts w:ascii="Helvetica" w:hAnsi="Helvetica"/>
          <w:szCs w:val="24"/>
          <w:lang w:val="en-CA"/>
        </w:rPr>
        <w:t>March 1</w:t>
      </w:r>
      <w:r w:rsidRPr="0073510E">
        <w:rPr>
          <w:rFonts w:ascii="Helvetica" w:hAnsi="Helvetica"/>
          <w:szCs w:val="24"/>
          <w:vertAlign w:val="superscript"/>
          <w:lang w:val="en-CA"/>
        </w:rPr>
        <w:t>st</w:t>
      </w:r>
      <w:r w:rsidRPr="007D1768">
        <w:rPr>
          <w:rFonts w:ascii="Helvetica" w:hAnsi="Helvetica"/>
          <w:szCs w:val="24"/>
          <w:lang w:val="en-CA"/>
        </w:rPr>
        <w:t xml:space="preserve"> as determined </w:t>
      </w:r>
      <w:r>
        <w:rPr>
          <w:rFonts w:ascii="Helvetica" w:hAnsi="Helvetica"/>
          <w:szCs w:val="24"/>
          <w:lang w:val="en-CA"/>
        </w:rPr>
        <w:t>by FGPS</w:t>
      </w:r>
    </w:p>
    <w:p w:rsidR="00221BCD" w:rsidRPr="007D1768" w:rsidRDefault="00221BCD" w:rsidP="00221BCD">
      <w:pPr>
        <w:jc w:val="both"/>
        <w:rPr>
          <w:rFonts w:ascii="Helvetica" w:hAnsi="Helvetica"/>
          <w:b/>
          <w:szCs w:val="24"/>
          <w:lang w:val="en-CA"/>
        </w:rPr>
      </w:pPr>
    </w:p>
    <w:p w:rsidR="00221BCD" w:rsidRPr="007D1768" w:rsidRDefault="00221BCD" w:rsidP="00221BCD">
      <w:pPr>
        <w:jc w:val="both"/>
        <w:rPr>
          <w:rFonts w:ascii="Helvetica" w:hAnsi="Helvetica"/>
          <w:szCs w:val="24"/>
          <w:lang w:val="en-CA"/>
        </w:rPr>
      </w:pPr>
      <w:r w:rsidRPr="007D1768">
        <w:rPr>
          <w:rFonts w:ascii="Helvetica" w:hAnsi="Helvetica"/>
          <w:b/>
          <w:szCs w:val="24"/>
          <w:lang w:val="en-CA"/>
        </w:rPr>
        <w:t>APPLICATION PROCEDURE</w:t>
      </w:r>
    </w:p>
    <w:p w:rsidR="00221BCD" w:rsidRPr="007D1768" w:rsidRDefault="00221BCD" w:rsidP="00221BCD">
      <w:pPr>
        <w:numPr>
          <w:ilvl w:val="12"/>
          <w:numId w:val="0"/>
        </w:numPr>
        <w:tabs>
          <w:tab w:val="left" w:pos="-1440"/>
          <w:tab w:val="left" w:pos="-720"/>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Helvetica" w:hAnsi="Helvetica"/>
          <w:szCs w:val="24"/>
          <w:lang w:val="en-CA"/>
        </w:rPr>
      </w:pPr>
      <w:r w:rsidRPr="007D1768">
        <w:rPr>
          <w:rFonts w:ascii="Helvetica" w:hAnsi="Helvetica"/>
          <w:szCs w:val="24"/>
          <w:lang w:val="en-CA"/>
        </w:rPr>
        <w:t xml:space="preserve">Application must be made to </w:t>
      </w:r>
      <w:r>
        <w:rPr>
          <w:rFonts w:ascii="Helvetica" w:hAnsi="Helvetica"/>
          <w:szCs w:val="24"/>
          <w:lang w:val="en-CA"/>
        </w:rPr>
        <w:t>FGPS,</w:t>
      </w:r>
      <w:r w:rsidRPr="007D1768">
        <w:rPr>
          <w:rFonts w:ascii="Helvetica" w:hAnsi="Helvetica"/>
          <w:szCs w:val="24"/>
          <w:lang w:val="en-CA"/>
        </w:rPr>
        <w:t xml:space="preserve"> and should include:</w:t>
      </w:r>
    </w:p>
    <w:p w:rsidR="00221BCD" w:rsidRDefault="00221BCD" w:rsidP="00221BCD">
      <w:pPr>
        <w:numPr>
          <w:ilvl w:val="1"/>
          <w:numId w:val="1"/>
        </w:numPr>
        <w:tabs>
          <w:tab w:val="left" w:pos="-1440"/>
          <w:tab w:val="left" w:pos="-720"/>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jc w:val="both"/>
        <w:rPr>
          <w:rFonts w:ascii="Helvetica" w:hAnsi="Helvetica"/>
          <w:szCs w:val="24"/>
          <w:lang w:val="en-CA"/>
        </w:rPr>
      </w:pPr>
      <w:r>
        <w:rPr>
          <w:rFonts w:ascii="Helvetica" w:hAnsi="Helvetica"/>
          <w:szCs w:val="24"/>
          <w:lang w:val="en-CA"/>
        </w:rPr>
        <w:t xml:space="preserve">     a copy of proof of citizenship and residency;</w:t>
      </w:r>
    </w:p>
    <w:p w:rsidR="00221BCD" w:rsidRPr="006D6E6B" w:rsidRDefault="00221BCD" w:rsidP="00221BCD">
      <w:pPr>
        <w:numPr>
          <w:ilvl w:val="1"/>
          <w:numId w:val="1"/>
        </w:numPr>
        <w:ind w:left="567" w:hanging="567"/>
        <w:rPr>
          <w:rFonts w:ascii="Helvetica" w:hAnsi="Helvetica"/>
          <w:szCs w:val="24"/>
          <w:lang w:val="en-CA"/>
        </w:rPr>
      </w:pPr>
      <w:r w:rsidRPr="006D6E6B">
        <w:rPr>
          <w:rFonts w:ascii="Helvetica" w:hAnsi="Helvetica"/>
          <w:szCs w:val="24"/>
          <w:lang w:val="en-CA"/>
        </w:rPr>
        <w:t xml:space="preserve">     CV which must include academic background, publications (if any), awards and prizes (if</w:t>
      </w:r>
      <w:r>
        <w:rPr>
          <w:rFonts w:ascii="Helvetica" w:hAnsi="Helvetica"/>
          <w:szCs w:val="24"/>
          <w:lang w:val="en-CA"/>
        </w:rPr>
        <w:t xml:space="preserve"> </w:t>
      </w:r>
      <w:r w:rsidRPr="006D6E6B">
        <w:rPr>
          <w:rFonts w:ascii="Helvetica" w:hAnsi="Helvetica"/>
          <w:szCs w:val="24"/>
          <w:lang w:val="en-CA"/>
        </w:rPr>
        <w:t xml:space="preserve">any), volunteer experience, work experience and any other information </w:t>
      </w:r>
      <w:r w:rsidRPr="006D6E6B">
        <w:rPr>
          <w:rFonts w:ascii="Helvetica" w:hAnsi="Helvetica"/>
          <w:szCs w:val="24"/>
          <w:lang w:val="en-CA"/>
        </w:rPr>
        <w:lastRenderedPageBreak/>
        <w:t xml:space="preserve">pertinent to this application (not necessary if already submitted with application and </w:t>
      </w:r>
      <w:r>
        <w:rPr>
          <w:rFonts w:ascii="Helvetica" w:hAnsi="Helvetica"/>
          <w:szCs w:val="24"/>
          <w:lang w:val="en-CA"/>
        </w:rPr>
        <w:t xml:space="preserve">an </w:t>
      </w:r>
      <w:r w:rsidRPr="006D6E6B">
        <w:rPr>
          <w:rFonts w:ascii="Helvetica" w:hAnsi="Helvetica"/>
          <w:szCs w:val="24"/>
          <w:lang w:val="en-CA"/>
        </w:rPr>
        <w:t xml:space="preserve">offer of admission </w:t>
      </w:r>
      <w:r>
        <w:rPr>
          <w:rFonts w:ascii="Helvetica" w:hAnsi="Helvetica"/>
          <w:szCs w:val="24"/>
          <w:lang w:val="en-CA"/>
        </w:rPr>
        <w:t xml:space="preserve">was received </w:t>
      </w:r>
      <w:r w:rsidRPr="006D6E6B">
        <w:rPr>
          <w:rFonts w:ascii="Helvetica" w:hAnsi="Helvetica"/>
          <w:szCs w:val="24"/>
          <w:lang w:val="en-CA"/>
        </w:rPr>
        <w:t xml:space="preserve">from </w:t>
      </w:r>
      <w:r w:rsidRPr="006D6E6B">
        <w:rPr>
          <w:rFonts w:ascii="Helvetica" w:hAnsi="Helvetica"/>
        </w:rPr>
        <w:t>the University of Ottawa</w:t>
      </w:r>
      <w:r w:rsidRPr="006D6E6B">
        <w:rPr>
          <w:rFonts w:ascii="Helvetica" w:hAnsi="Helvetica"/>
          <w:szCs w:val="24"/>
          <w:lang w:val="en-CA"/>
        </w:rPr>
        <w:t>)</w:t>
      </w:r>
    </w:p>
    <w:p w:rsidR="00221BCD" w:rsidRDefault="00221BCD" w:rsidP="00221BCD">
      <w:pPr>
        <w:ind w:left="567" w:hanging="567"/>
        <w:rPr>
          <w:rFonts w:ascii="Helvetica" w:hAnsi="Helvetica"/>
          <w:szCs w:val="24"/>
          <w:lang w:val="en-CA"/>
        </w:rPr>
      </w:pPr>
      <w:r>
        <w:rPr>
          <w:rFonts w:ascii="Helvetica" w:hAnsi="Helvetica"/>
          <w:szCs w:val="24"/>
          <w:lang w:val="en-CA"/>
        </w:rPr>
        <w:t xml:space="preserve">3.     </w:t>
      </w:r>
      <w:proofErr w:type="gramStart"/>
      <w:r>
        <w:rPr>
          <w:rFonts w:ascii="Helvetica" w:hAnsi="Helvetica"/>
          <w:szCs w:val="24"/>
          <w:lang w:val="en-CA"/>
        </w:rPr>
        <w:t>a</w:t>
      </w:r>
      <w:proofErr w:type="gramEnd"/>
      <w:r>
        <w:rPr>
          <w:rFonts w:ascii="Helvetica" w:hAnsi="Helvetica"/>
          <w:szCs w:val="24"/>
          <w:lang w:val="en-CA"/>
        </w:rPr>
        <w:t xml:space="preserve"> research or program statement </w:t>
      </w:r>
      <w:r w:rsidRPr="00587EE7">
        <w:rPr>
          <w:rFonts w:ascii="Helvetica" w:hAnsi="Helvetica"/>
          <w:szCs w:val="24"/>
          <w:lang w:val="en-CA"/>
        </w:rPr>
        <w:t xml:space="preserve">(not necessary if already submitted with application and </w:t>
      </w:r>
      <w:r>
        <w:rPr>
          <w:rFonts w:ascii="Helvetica" w:hAnsi="Helvetica"/>
          <w:szCs w:val="24"/>
          <w:lang w:val="en-CA"/>
        </w:rPr>
        <w:t xml:space="preserve">an </w:t>
      </w:r>
      <w:r w:rsidRPr="00587EE7">
        <w:rPr>
          <w:rFonts w:ascii="Helvetica" w:hAnsi="Helvetica"/>
          <w:szCs w:val="24"/>
          <w:lang w:val="en-CA"/>
        </w:rPr>
        <w:t xml:space="preserve">offer of admission </w:t>
      </w:r>
      <w:r>
        <w:rPr>
          <w:rFonts w:ascii="Helvetica" w:hAnsi="Helvetica"/>
          <w:szCs w:val="24"/>
          <w:lang w:val="en-CA"/>
        </w:rPr>
        <w:t xml:space="preserve">was received </w:t>
      </w:r>
      <w:r w:rsidRPr="00587EE7">
        <w:rPr>
          <w:rFonts w:ascii="Helvetica" w:hAnsi="Helvetica"/>
          <w:szCs w:val="24"/>
          <w:lang w:val="en-CA"/>
        </w:rPr>
        <w:t xml:space="preserve">from </w:t>
      </w:r>
      <w:r w:rsidRPr="00587EE7">
        <w:rPr>
          <w:rFonts w:ascii="Helvetica" w:hAnsi="Helvetica"/>
        </w:rPr>
        <w:t>the University of Ottawa</w:t>
      </w:r>
      <w:r w:rsidRPr="00587EE7">
        <w:rPr>
          <w:rFonts w:ascii="Helvetica" w:hAnsi="Helvetica"/>
          <w:szCs w:val="24"/>
          <w:lang w:val="en-CA"/>
        </w:rPr>
        <w:t>)</w:t>
      </w:r>
      <w:r>
        <w:rPr>
          <w:rFonts w:ascii="Helvetica" w:hAnsi="Helvetica"/>
          <w:szCs w:val="24"/>
          <w:lang w:val="en-CA"/>
        </w:rPr>
        <w:t xml:space="preserve"> </w:t>
      </w:r>
    </w:p>
    <w:p w:rsidR="00221BCD" w:rsidRDefault="00221BCD" w:rsidP="00221BCD">
      <w:pPr>
        <w:ind w:left="567" w:hanging="567"/>
        <w:rPr>
          <w:rFonts w:ascii="Helvetica" w:hAnsi="Helvetica"/>
          <w:szCs w:val="24"/>
          <w:lang w:val="en-CA"/>
        </w:rPr>
      </w:pPr>
      <w:r>
        <w:rPr>
          <w:rFonts w:ascii="Helvetica" w:hAnsi="Helvetica"/>
          <w:szCs w:val="24"/>
          <w:lang w:val="en-CA"/>
        </w:rPr>
        <w:t xml:space="preserve">4.     </w:t>
      </w:r>
      <w:proofErr w:type="gramStart"/>
      <w:r>
        <w:rPr>
          <w:rFonts w:ascii="Helvetica" w:hAnsi="Helvetica"/>
          <w:szCs w:val="24"/>
          <w:lang w:val="en-CA"/>
        </w:rPr>
        <w:t>all</w:t>
      </w:r>
      <w:proofErr w:type="gramEnd"/>
      <w:r>
        <w:rPr>
          <w:rFonts w:ascii="Helvetica" w:hAnsi="Helvetica"/>
          <w:szCs w:val="24"/>
          <w:lang w:val="en-CA"/>
        </w:rPr>
        <w:t xml:space="preserve"> university transcripts </w:t>
      </w:r>
      <w:r w:rsidRPr="00587EE7">
        <w:rPr>
          <w:rFonts w:ascii="Helvetica" w:hAnsi="Helvetica"/>
          <w:szCs w:val="24"/>
          <w:lang w:val="en-CA"/>
        </w:rPr>
        <w:t xml:space="preserve">(not necessary if already submitted with application and </w:t>
      </w:r>
      <w:r>
        <w:rPr>
          <w:rFonts w:ascii="Helvetica" w:hAnsi="Helvetica"/>
          <w:szCs w:val="24"/>
          <w:lang w:val="en-CA"/>
        </w:rPr>
        <w:t xml:space="preserve">an </w:t>
      </w:r>
      <w:r w:rsidRPr="00587EE7">
        <w:rPr>
          <w:rFonts w:ascii="Helvetica" w:hAnsi="Helvetica"/>
          <w:szCs w:val="24"/>
          <w:lang w:val="en-CA"/>
        </w:rPr>
        <w:t xml:space="preserve">offer of admission </w:t>
      </w:r>
      <w:r>
        <w:rPr>
          <w:rFonts w:ascii="Helvetica" w:hAnsi="Helvetica"/>
          <w:szCs w:val="24"/>
          <w:lang w:val="en-CA"/>
        </w:rPr>
        <w:t xml:space="preserve">was received </w:t>
      </w:r>
      <w:r w:rsidRPr="00587EE7">
        <w:rPr>
          <w:rFonts w:ascii="Helvetica" w:hAnsi="Helvetica"/>
          <w:szCs w:val="24"/>
          <w:lang w:val="en-CA"/>
        </w:rPr>
        <w:t xml:space="preserve">from </w:t>
      </w:r>
      <w:r w:rsidRPr="00587EE7">
        <w:rPr>
          <w:rFonts w:ascii="Helvetica" w:hAnsi="Helvetica"/>
        </w:rPr>
        <w:t>the University of Ottawa</w:t>
      </w:r>
      <w:r w:rsidRPr="00587EE7">
        <w:rPr>
          <w:rFonts w:ascii="Helvetica" w:hAnsi="Helvetica"/>
          <w:szCs w:val="24"/>
          <w:lang w:val="en-CA"/>
        </w:rPr>
        <w:t>)</w:t>
      </w:r>
      <w:r>
        <w:rPr>
          <w:rFonts w:ascii="Helvetica" w:hAnsi="Helvetica"/>
          <w:szCs w:val="24"/>
          <w:lang w:val="en-CA"/>
        </w:rPr>
        <w:t xml:space="preserve"> </w:t>
      </w:r>
    </w:p>
    <w:p w:rsidR="00221BCD" w:rsidRPr="009E2ACD" w:rsidRDefault="00221BCD" w:rsidP="00221BCD">
      <w:pPr>
        <w:ind w:left="567" w:hanging="567"/>
        <w:rPr>
          <w:rFonts w:ascii="Helvetica" w:hAnsi="Helvetica"/>
          <w:szCs w:val="24"/>
          <w:lang w:val="en-CA"/>
        </w:rPr>
      </w:pPr>
      <w:r>
        <w:rPr>
          <w:rFonts w:ascii="Helvetica" w:hAnsi="Helvetica"/>
          <w:szCs w:val="24"/>
          <w:lang w:val="en-CA"/>
        </w:rPr>
        <w:t xml:space="preserve">5.     </w:t>
      </w:r>
      <w:proofErr w:type="gramStart"/>
      <w:r>
        <w:rPr>
          <w:rFonts w:ascii="Helvetica" w:hAnsi="Helvetica"/>
          <w:szCs w:val="24"/>
          <w:lang w:val="en-CA"/>
        </w:rPr>
        <w:t>confirmation</w:t>
      </w:r>
      <w:proofErr w:type="gramEnd"/>
      <w:r>
        <w:rPr>
          <w:rFonts w:ascii="Helvetica" w:hAnsi="Helvetica"/>
          <w:szCs w:val="24"/>
          <w:lang w:val="en-CA"/>
        </w:rPr>
        <w:t xml:space="preserve"> of application for admission to the University of Ottawa and any other document required by the academic unit.  Please provide either the ID number provided when you apply for admission online through the</w:t>
      </w:r>
      <w:r w:rsidRPr="00D64734">
        <w:rPr>
          <w:rFonts w:ascii="Helvetica" w:hAnsi="Helvetica"/>
          <w:szCs w:val="24"/>
          <w:lang w:val="en-CA"/>
        </w:rPr>
        <w:t xml:space="preserve"> Ontario Universities’</w:t>
      </w:r>
      <w:r>
        <w:rPr>
          <w:rFonts w:ascii="Helvetica" w:hAnsi="Helvetica"/>
          <w:szCs w:val="24"/>
          <w:lang w:val="en-CA"/>
        </w:rPr>
        <w:t xml:space="preserve"> </w:t>
      </w:r>
      <w:r w:rsidRPr="00D64734">
        <w:rPr>
          <w:rFonts w:ascii="Helvetica" w:hAnsi="Helvetica"/>
          <w:szCs w:val="24"/>
          <w:lang w:val="en-CA"/>
        </w:rPr>
        <w:t xml:space="preserve">Application Centre (OUAC) </w:t>
      </w:r>
      <w:r>
        <w:rPr>
          <w:rFonts w:ascii="Helvetica" w:hAnsi="Helvetica"/>
          <w:szCs w:val="24"/>
          <w:lang w:val="en-CA"/>
        </w:rPr>
        <w:t xml:space="preserve">(accessible on the University of Ottawa website at </w:t>
      </w:r>
      <w:hyperlink r:id="rId6" w:history="1">
        <w:r w:rsidRPr="007A046E">
          <w:rPr>
            <w:rStyle w:val="Hyperlink"/>
            <w:rFonts w:ascii="Helvetica" w:hAnsi="Helvetica"/>
            <w:szCs w:val="24"/>
            <w:lang w:val="en-CA"/>
          </w:rPr>
          <w:t>http://www.grad.uottawa.ca/Default.aspx?tabid=1624</w:t>
        </w:r>
      </w:hyperlink>
      <w:r>
        <w:rPr>
          <w:rFonts w:ascii="Helvetica" w:hAnsi="Helvetica"/>
          <w:szCs w:val="24"/>
          <w:lang w:val="en-CA"/>
        </w:rPr>
        <w:t xml:space="preserve"> ) or a copy of the application form.</w:t>
      </w:r>
    </w:p>
    <w:p w:rsidR="00221BCD" w:rsidRDefault="00221BCD" w:rsidP="00221BCD">
      <w:pPr>
        <w:jc w:val="both"/>
        <w:rPr>
          <w:rFonts w:ascii="Helvetica" w:hAnsi="Helvetica"/>
          <w:b/>
          <w:szCs w:val="24"/>
          <w:lang w:val="en-CA"/>
        </w:rPr>
      </w:pPr>
    </w:p>
    <w:p w:rsidR="00221BCD" w:rsidRDefault="00221BCD" w:rsidP="00221BCD">
      <w:pPr>
        <w:rPr>
          <w:rFonts w:ascii="Helvetica" w:hAnsi="Helvetica"/>
          <w:szCs w:val="24"/>
          <w:lang w:val="en-CA"/>
        </w:rPr>
      </w:pPr>
      <w:r>
        <w:rPr>
          <w:rFonts w:ascii="Helvetica" w:hAnsi="Helvetica"/>
          <w:b/>
          <w:szCs w:val="24"/>
          <w:lang w:val="en-CA"/>
        </w:rPr>
        <w:t>RENEWAL</w:t>
      </w:r>
    </w:p>
    <w:p w:rsidR="00221BCD" w:rsidRPr="00221BCD" w:rsidRDefault="00221BCD" w:rsidP="00221BCD">
      <w:pPr>
        <w:numPr>
          <w:ilvl w:val="8"/>
          <w:numId w:val="1"/>
        </w:numPr>
        <w:rPr>
          <w:rFonts w:ascii="Helvetica" w:hAnsi="Helvetica"/>
          <w:szCs w:val="24"/>
          <w:lang w:val="en-CA"/>
        </w:rPr>
      </w:pPr>
      <w:r w:rsidRPr="00221BCD">
        <w:rPr>
          <w:rFonts w:ascii="Helvetica" w:hAnsi="Helvetica"/>
          <w:szCs w:val="24"/>
          <w:lang w:val="en-CA"/>
        </w:rPr>
        <w:t xml:space="preserve">      </w:t>
      </w:r>
      <w:r w:rsidRPr="00221BCD">
        <w:rPr>
          <w:rFonts w:ascii="Helvetica" w:hAnsi="Helvetica"/>
          <w:szCs w:val="24"/>
          <w:lang w:val="en-CA"/>
        </w:rPr>
        <w:t>The differential tuition fee exemption will be renewed from session to session for</w:t>
      </w:r>
      <w:r>
        <w:rPr>
          <w:rFonts w:ascii="Helvetica" w:hAnsi="Helvetica"/>
          <w:szCs w:val="24"/>
          <w:lang w:val="en-CA"/>
        </w:rPr>
        <w:t xml:space="preserve"> </w:t>
      </w:r>
      <w:bookmarkStart w:id="0" w:name="_GoBack"/>
      <w:bookmarkEnd w:id="0"/>
      <w:r w:rsidRPr="00221BCD">
        <w:rPr>
          <w:rFonts w:ascii="Helvetica" w:hAnsi="Helvetica"/>
          <w:szCs w:val="24"/>
          <w:lang w:val="en-CA"/>
        </w:rPr>
        <w:t>the normal</w:t>
      </w:r>
      <w:r w:rsidRPr="00221BCD">
        <w:rPr>
          <w:rFonts w:ascii="Helvetica" w:hAnsi="Helvetica"/>
          <w:szCs w:val="24"/>
          <w:lang w:val="en-CA"/>
        </w:rPr>
        <w:t xml:space="preserve"> </w:t>
      </w:r>
      <w:r w:rsidRPr="00221BCD">
        <w:rPr>
          <w:rFonts w:ascii="Helvetica" w:hAnsi="Helvetica"/>
          <w:szCs w:val="24"/>
          <w:lang w:val="en-CA"/>
        </w:rPr>
        <w:t>duration (up to 2 years for master’s degrees and 4 years for Ph.D. degrees</w:t>
      </w:r>
      <w:r>
        <w:rPr>
          <w:rFonts w:ascii="Helvetica" w:hAnsi="Helvetica"/>
          <w:szCs w:val="24"/>
          <w:lang w:val="en-CA"/>
        </w:rPr>
        <w:t>)</w:t>
      </w:r>
      <w:r w:rsidRPr="00221BCD">
        <w:rPr>
          <w:rFonts w:ascii="Helvetica" w:hAnsi="Helvetica"/>
          <w:szCs w:val="24"/>
          <w:lang w:val="en-CA"/>
        </w:rPr>
        <w:t>.</w:t>
      </w:r>
    </w:p>
    <w:p w:rsidR="00221BCD" w:rsidRPr="00F114FA" w:rsidRDefault="00221BCD" w:rsidP="00221BCD">
      <w:pPr>
        <w:rPr>
          <w:rFonts w:ascii="Helvetica" w:hAnsi="Helvetica"/>
          <w:szCs w:val="24"/>
          <w:lang w:val="en-CA"/>
        </w:rPr>
      </w:pPr>
      <w:r>
        <w:rPr>
          <w:rFonts w:ascii="Helvetica" w:hAnsi="Helvetica"/>
          <w:szCs w:val="24"/>
          <w:lang w:val="en-CA"/>
        </w:rPr>
        <w:t xml:space="preserve">2.   </w:t>
      </w:r>
      <w:r w:rsidRPr="00F114FA">
        <w:rPr>
          <w:rFonts w:ascii="Helvetica" w:hAnsi="Helvetica"/>
          <w:szCs w:val="24"/>
          <w:lang w:val="en-CA"/>
        </w:rPr>
        <w:t>The differential tuition fee exemption renewal is conditional on the recipient maintaining good</w:t>
      </w:r>
      <w:r>
        <w:rPr>
          <w:rFonts w:ascii="Helvetica" w:hAnsi="Helvetica"/>
          <w:szCs w:val="24"/>
          <w:lang w:val="en-CA"/>
        </w:rPr>
        <w:t xml:space="preserve"> </w:t>
      </w:r>
      <w:r w:rsidRPr="00F114FA">
        <w:rPr>
          <w:rFonts w:ascii="Helvetica" w:hAnsi="Helvetica"/>
          <w:szCs w:val="24"/>
          <w:lang w:val="en-CA"/>
        </w:rPr>
        <w:t>academic stranding, full-time status and The differential tuition fee exemption renewal is</w:t>
      </w:r>
      <w:r>
        <w:rPr>
          <w:rFonts w:ascii="Helvetica" w:hAnsi="Helvetica"/>
          <w:szCs w:val="24"/>
          <w:lang w:val="en-CA"/>
        </w:rPr>
        <w:t xml:space="preserve"> </w:t>
      </w:r>
      <w:r w:rsidRPr="00F114FA">
        <w:rPr>
          <w:rFonts w:ascii="Helvetica" w:hAnsi="Helvetica"/>
          <w:szCs w:val="24"/>
          <w:lang w:val="en-CA"/>
        </w:rPr>
        <w:t>conditional on the recipient maintaining good academic stranding and full-time status.  Good academic standing is demonstrated by having a satisfactory Annual Research Progress Report.  The form can be found on the FGPS website at</w:t>
      </w:r>
      <w:r>
        <w:rPr>
          <w:rFonts w:ascii="Helvetica" w:hAnsi="Helvetica"/>
          <w:szCs w:val="24"/>
          <w:lang w:val="en-CA"/>
        </w:rPr>
        <w:t xml:space="preserve"> </w:t>
      </w:r>
      <w:hyperlink r:id="rId7" w:history="1">
        <w:r w:rsidRPr="00F114FA">
          <w:rPr>
            <w:rStyle w:val="Hyperlink"/>
            <w:rFonts w:ascii="Helvetica" w:hAnsi="Helvetica"/>
            <w:szCs w:val="24"/>
            <w:lang w:val="en-CA"/>
          </w:rPr>
          <w:t>http://www.grad.uottawa.ca/Portals/29/forms/ESUP5189%28mod%29.pdf</w:t>
        </w:r>
      </w:hyperlink>
      <w:r w:rsidRPr="00F114FA">
        <w:rPr>
          <w:rFonts w:ascii="Helvetica" w:hAnsi="Helvetica"/>
          <w:color w:val="1F497D"/>
          <w:szCs w:val="24"/>
          <w:lang w:val="en-CA"/>
        </w:rPr>
        <w:t>.</w:t>
      </w:r>
    </w:p>
    <w:p w:rsidR="00D136F5" w:rsidRPr="00221BCD" w:rsidRDefault="00221BCD" w:rsidP="00221BCD">
      <w:pPr>
        <w:rPr>
          <w:rFonts w:ascii="Helvetica" w:hAnsi="Helvetica"/>
          <w:szCs w:val="24"/>
          <w:lang w:val="en-CA"/>
        </w:rPr>
      </w:pPr>
      <w:r>
        <w:rPr>
          <w:rFonts w:ascii="Helvetica" w:hAnsi="Helvetica"/>
          <w:szCs w:val="24"/>
          <w:lang w:val="en-CA"/>
        </w:rPr>
        <w:t>3.</w:t>
      </w:r>
      <w:r w:rsidRPr="00023F46">
        <w:rPr>
          <w:rFonts w:ascii="Helvetica" w:hAnsi="Helvetica"/>
          <w:szCs w:val="24"/>
          <w:lang w:val="en-CA"/>
        </w:rPr>
        <w:t xml:space="preserve">     If the recipient does not comply with the above conditions, the differential tuition fee</w:t>
      </w:r>
      <w:r>
        <w:rPr>
          <w:rFonts w:ascii="Helvetica" w:hAnsi="Helvetica"/>
          <w:szCs w:val="24"/>
          <w:lang w:val="en-CA"/>
        </w:rPr>
        <w:t xml:space="preserve"> </w:t>
      </w:r>
      <w:r w:rsidRPr="00023F46">
        <w:rPr>
          <w:rFonts w:ascii="Helvetica" w:hAnsi="Helvetica"/>
          <w:szCs w:val="24"/>
          <w:lang w:val="en-CA"/>
        </w:rPr>
        <w:t>exemption may be rev</w:t>
      </w:r>
      <w:r>
        <w:rPr>
          <w:rFonts w:ascii="Helvetica" w:hAnsi="Helvetica"/>
          <w:szCs w:val="24"/>
          <w:lang w:val="en-CA"/>
        </w:rPr>
        <w:t>oked temporarily or definitely.</w:t>
      </w:r>
    </w:p>
    <w:sectPr w:rsidR="00D136F5" w:rsidRPr="00221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pStyle w:val="Level1"/>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CD"/>
    <w:rsid w:val="00221BCD"/>
    <w:rsid w:val="00D13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C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221BCD"/>
    <w:pPr>
      <w:widowControl w:val="0"/>
      <w:numPr>
        <w:numId w:val="1"/>
      </w:numPr>
      <w:autoSpaceDE w:val="0"/>
      <w:autoSpaceDN w:val="0"/>
      <w:adjustRightInd w:val="0"/>
      <w:outlineLvl w:val="0"/>
    </w:pPr>
    <w:rPr>
      <w:rFonts w:ascii="Courier" w:hAnsi="Courier"/>
      <w:szCs w:val="24"/>
    </w:rPr>
  </w:style>
  <w:style w:type="character" w:styleId="Hyperlink">
    <w:name w:val="Hyperlink"/>
    <w:rsid w:val="00221BCD"/>
    <w:rPr>
      <w:color w:val="0000FF"/>
      <w:u w:val="single"/>
    </w:rPr>
  </w:style>
  <w:style w:type="paragraph" w:styleId="ListParagraph">
    <w:name w:val="List Paragraph"/>
    <w:basedOn w:val="Normal"/>
    <w:uiPriority w:val="34"/>
    <w:qFormat/>
    <w:rsid w:val="00221BCD"/>
    <w:pPr>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BC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221BCD"/>
    <w:pPr>
      <w:widowControl w:val="0"/>
      <w:numPr>
        <w:numId w:val="1"/>
      </w:numPr>
      <w:autoSpaceDE w:val="0"/>
      <w:autoSpaceDN w:val="0"/>
      <w:adjustRightInd w:val="0"/>
      <w:outlineLvl w:val="0"/>
    </w:pPr>
    <w:rPr>
      <w:rFonts w:ascii="Courier" w:hAnsi="Courier"/>
      <w:szCs w:val="24"/>
    </w:rPr>
  </w:style>
  <w:style w:type="character" w:styleId="Hyperlink">
    <w:name w:val="Hyperlink"/>
    <w:rsid w:val="00221BCD"/>
    <w:rPr>
      <w:color w:val="0000FF"/>
      <w:u w:val="single"/>
    </w:rPr>
  </w:style>
  <w:style w:type="paragraph" w:styleId="ListParagraph">
    <w:name w:val="List Paragraph"/>
    <w:basedOn w:val="Normal"/>
    <w:uiPriority w:val="34"/>
    <w:qFormat/>
    <w:rsid w:val="00221BCD"/>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grad.uottawa.ca/Portals/29/forms/ESUP5189%28mod%2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d.uottawa.ca/Default.aspx?tabid=162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medtech</dc:creator>
  <cp:lastModifiedBy>medtech</cp:lastModifiedBy>
  <cp:revision>1</cp:revision>
  <dcterms:created xsi:type="dcterms:W3CDTF">2013-02-20T14:40:00Z</dcterms:created>
  <dcterms:modified xsi:type="dcterms:W3CDTF">2013-02-20T14:45:00Z</dcterms:modified>
</cp:coreProperties>
</file>